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DB61" w14:textId="27B09C4F" w:rsidR="00C706D2" w:rsidRDefault="00C706D2" w:rsidP="00C706D2">
      <w:pPr>
        <w:jc w:val="center"/>
        <w:rPr>
          <w:b/>
          <w:sz w:val="32"/>
        </w:rPr>
      </w:pPr>
      <w:bookmarkStart w:id="0" w:name="_Toc175687627"/>
    </w:p>
    <w:p w14:paraId="690C4339" w14:textId="76079F07" w:rsidR="00C706D2" w:rsidRPr="00AE4E60" w:rsidRDefault="00C706D2" w:rsidP="00C706D2">
      <w:pPr>
        <w:jc w:val="center"/>
        <w:rPr>
          <w:b/>
          <w:sz w:val="32"/>
        </w:rPr>
      </w:pPr>
      <w:r w:rsidRPr="00AE4E60">
        <w:rPr>
          <w:b/>
          <w:sz w:val="32"/>
        </w:rPr>
        <w:t>Rapport med anbefalinger fra</w:t>
      </w:r>
    </w:p>
    <w:p w14:paraId="167BC12B" w14:textId="766B0964" w:rsidR="00C706D2" w:rsidRPr="00AE4E60" w:rsidRDefault="00C706D2" w:rsidP="00C706D2">
      <w:pPr>
        <w:jc w:val="center"/>
        <w:rPr>
          <w:b/>
          <w:sz w:val="32"/>
        </w:rPr>
      </w:pPr>
      <w:r w:rsidRPr="00AE4E60">
        <w:rPr>
          <w:b/>
          <w:sz w:val="32"/>
        </w:rPr>
        <w:t>NorCRIN arbeidspakke 11</w:t>
      </w:r>
    </w:p>
    <w:p w14:paraId="24AE51D5" w14:textId="0B61E448" w:rsidR="00C706D2" w:rsidRDefault="00C706D2" w:rsidP="00C706D2">
      <w:pPr>
        <w:jc w:val="center"/>
        <w:rPr>
          <w:b/>
          <w:sz w:val="32"/>
        </w:rPr>
      </w:pPr>
      <w:r w:rsidRPr="00AE4E60">
        <w:rPr>
          <w:b/>
          <w:sz w:val="32"/>
        </w:rPr>
        <w:t xml:space="preserve">Organisatoriske enheter </w:t>
      </w:r>
      <w:r>
        <w:rPr>
          <w:b/>
          <w:sz w:val="32"/>
        </w:rPr>
        <w:t>til støtte for kliniske studier</w:t>
      </w:r>
    </w:p>
    <w:p w14:paraId="4E862F98" w14:textId="11062E0A" w:rsidR="00C706D2" w:rsidRPr="00FD7F7E" w:rsidRDefault="00C706D2" w:rsidP="00C706D2">
      <w:pPr>
        <w:jc w:val="center"/>
        <w:rPr>
          <w:b/>
          <w:sz w:val="32"/>
          <w:lang w:val="en-US"/>
        </w:rPr>
      </w:pPr>
      <w:r w:rsidRPr="00FD7F7E">
        <w:rPr>
          <w:b/>
          <w:sz w:val="32"/>
          <w:lang w:val="en-US"/>
        </w:rPr>
        <w:t>«Infra»</w:t>
      </w:r>
    </w:p>
    <w:p w14:paraId="0CDCC48C" w14:textId="551CF73A" w:rsidR="00C706D2" w:rsidRPr="00FD7F7E" w:rsidRDefault="00C706D2" w:rsidP="00C706D2">
      <w:pPr>
        <w:jc w:val="center"/>
        <w:rPr>
          <w:lang w:val="en-US"/>
        </w:rPr>
      </w:pPr>
    </w:p>
    <w:p w14:paraId="0C6CD8AC" w14:textId="68199A39" w:rsidR="00C706D2" w:rsidRPr="00AE4E60" w:rsidRDefault="00C706D2" w:rsidP="00C706D2">
      <w:pPr>
        <w:jc w:val="center"/>
        <w:rPr>
          <w:rFonts w:cstheme="minorHAnsi"/>
          <w:b/>
          <w:sz w:val="40"/>
          <w:szCs w:val="40"/>
          <w:lang w:val="en-US"/>
        </w:rPr>
      </w:pPr>
      <w:r w:rsidRPr="00E1652F">
        <w:rPr>
          <w:noProof/>
          <w:sz w:val="28"/>
          <w:szCs w:val="28"/>
          <w:lang w:bidi="ar-SA"/>
        </w:rPr>
        <w:drawing>
          <wp:anchor distT="0" distB="0" distL="114300" distR="114300" simplePos="0" relativeHeight="251659264" behindDoc="0" locked="0" layoutInCell="1" allowOverlap="1" wp14:anchorId="108E6D20" wp14:editId="1F2DA5E1">
            <wp:simplePos x="0" y="0"/>
            <wp:positionH relativeFrom="margin">
              <wp:posOffset>735330</wp:posOffset>
            </wp:positionH>
            <wp:positionV relativeFrom="paragraph">
              <wp:posOffset>299720</wp:posOffset>
            </wp:positionV>
            <wp:extent cx="4366895" cy="4583430"/>
            <wp:effectExtent l="57150" t="19050" r="52705" b="102870"/>
            <wp:wrapTopAndBottom/>
            <wp:docPr id="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66895" cy="458343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AE4E60">
        <w:rPr>
          <w:b/>
          <w:lang w:val="en-US"/>
        </w:rPr>
        <w:t>Organizational units for the conduct of clinical studies</w:t>
      </w:r>
    </w:p>
    <w:p w14:paraId="1D766046" w14:textId="3656499E" w:rsidR="00C706D2" w:rsidRDefault="00C706D2">
      <w:pPr>
        <w:autoSpaceDE/>
        <w:autoSpaceDN/>
        <w:adjustRightInd/>
        <w:spacing w:after="160" w:line="259" w:lineRule="auto"/>
        <w:rPr>
          <w:lang w:val="en-US"/>
        </w:rPr>
      </w:pPr>
      <w:r>
        <w:rPr>
          <w:lang w:val="en-US"/>
        </w:rPr>
        <w:br w:type="page"/>
      </w:r>
    </w:p>
    <w:sdt>
      <w:sdtPr>
        <w:rPr>
          <w:rFonts w:asciiTheme="minorHAnsi" w:eastAsia="Times New Roman" w:hAnsiTheme="minorHAnsi" w:cs="Times New Roman"/>
          <w:color w:val="000000"/>
          <w:sz w:val="22"/>
          <w:szCs w:val="22"/>
          <w:lang w:bidi="ne-NP"/>
        </w:rPr>
        <w:id w:val="1556198286"/>
        <w:docPartObj>
          <w:docPartGallery w:val="Table of Contents"/>
          <w:docPartUnique/>
        </w:docPartObj>
      </w:sdtPr>
      <w:sdtEndPr>
        <w:rPr>
          <w:b/>
          <w:bCs/>
        </w:rPr>
      </w:sdtEndPr>
      <w:sdtContent>
        <w:p w14:paraId="452A9E7F" w14:textId="4F529668" w:rsidR="00C706D2" w:rsidRDefault="00C706D2" w:rsidP="004E1B85">
          <w:pPr>
            <w:pStyle w:val="Overskriftforinnholdsfortegnelse"/>
            <w:numPr>
              <w:ilvl w:val="0"/>
              <w:numId w:val="0"/>
            </w:numPr>
            <w:ind w:left="432"/>
          </w:pPr>
          <w:r>
            <w:t>Innhold</w:t>
          </w:r>
        </w:p>
        <w:p w14:paraId="339CA2CD" w14:textId="2D765752" w:rsidR="00C706D2" w:rsidRDefault="00C706D2">
          <w:pPr>
            <w:pStyle w:val="INNH1"/>
            <w:tabs>
              <w:tab w:val="right" w:leader="dot" w:pos="906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3122967" w:history="1">
            <w:r w:rsidRPr="00E1421C">
              <w:rPr>
                <w:rStyle w:val="Hyperkobling"/>
                <w:noProof/>
                <w:lang w:bidi="ne-NP"/>
              </w:rPr>
              <w:t>Introduksjon</w:t>
            </w:r>
            <w:r>
              <w:rPr>
                <w:noProof/>
                <w:webHidden/>
              </w:rPr>
              <w:tab/>
            </w:r>
            <w:r>
              <w:rPr>
                <w:noProof/>
                <w:webHidden/>
              </w:rPr>
              <w:fldChar w:fldCharType="begin"/>
            </w:r>
            <w:r>
              <w:rPr>
                <w:noProof/>
                <w:webHidden/>
              </w:rPr>
              <w:instrText xml:space="preserve"> PAGEREF _Toc193122967 \h </w:instrText>
            </w:r>
            <w:r>
              <w:rPr>
                <w:noProof/>
                <w:webHidden/>
              </w:rPr>
            </w:r>
            <w:r>
              <w:rPr>
                <w:noProof/>
                <w:webHidden/>
              </w:rPr>
              <w:fldChar w:fldCharType="separate"/>
            </w:r>
            <w:r>
              <w:rPr>
                <w:noProof/>
                <w:webHidden/>
              </w:rPr>
              <w:t>3</w:t>
            </w:r>
            <w:r>
              <w:rPr>
                <w:noProof/>
                <w:webHidden/>
              </w:rPr>
              <w:fldChar w:fldCharType="end"/>
            </w:r>
          </w:hyperlink>
        </w:p>
        <w:p w14:paraId="1B1E5EFA" w14:textId="48E003A9" w:rsidR="00C706D2" w:rsidRDefault="00C706D2">
          <w:pPr>
            <w:pStyle w:val="INNH1"/>
            <w:tabs>
              <w:tab w:val="right" w:leader="dot" w:pos="9060"/>
            </w:tabs>
            <w:rPr>
              <w:rFonts w:cstheme="minorBidi"/>
              <w:noProof/>
              <w:kern w:val="2"/>
              <w:sz w:val="24"/>
              <w:szCs w:val="24"/>
              <w14:ligatures w14:val="standardContextual"/>
            </w:rPr>
          </w:pPr>
          <w:hyperlink w:anchor="_Toc193122968" w:history="1">
            <w:r w:rsidRPr="00E1421C">
              <w:rPr>
                <w:rStyle w:val="Hyperkobling"/>
                <w:noProof/>
                <w:lang w:bidi="ne-NP"/>
              </w:rPr>
              <w:t>Sammendrag av arbeidet</w:t>
            </w:r>
            <w:r>
              <w:rPr>
                <w:noProof/>
                <w:webHidden/>
              </w:rPr>
              <w:tab/>
            </w:r>
            <w:r>
              <w:rPr>
                <w:noProof/>
                <w:webHidden/>
              </w:rPr>
              <w:fldChar w:fldCharType="begin"/>
            </w:r>
            <w:r>
              <w:rPr>
                <w:noProof/>
                <w:webHidden/>
              </w:rPr>
              <w:instrText xml:space="preserve"> PAGEREF _Toc193122968 \h </w:instrText>
            </w:r>
            <w:r>
              <w:rPr>
                <w:noProof/>
                <w:webHidden/>
              </w:rPr>
            </w:r>
            <w:r>
              <w:rPr>
                <w:noProof/>
                <w:webHidden/>
              </w:rPr>
              <w:fldChar w:fldCharType="separate"/>
            </w:r>
            <w:r>
              <w:rPr>
                <w:noProof/>
                <w:webHidden/>
              </w:rPr>
              <w:t>3</w:t>
            </w:r>
            <w:r>
              <w:rPr>
                <w:noProof/>
                <w:webHidden/>
              </w:rPr>
              <w:fldChar w:fldCharType="end"/>
            </w:r>
          </w:hyperlink>
        </w:p>
        <w:p w14:paraId="772E61C0" w14:textId="160EF1D0" w:rsidR="00C706D2" w:rsidRDefault="00C706D2">
          <w:pPr>
            <w:pStyle w:val="INNH1"/>
            <w:tabs>
              <w:tab w:val="right" w:leader="dot" w:pos="9060"/>
            </w:tabs>
            <w:rPr>
              <w:rFonts w:cstheme="minorBidi"/>
              <w:noProof/>
              <w:kern w:val="2"/>
              <w:sz w:val="24"/>
              <w:szCs w:val="24"/>
              <w14:ligatures w14:val="standardContextual"/>
            </w:rPr>
          </w:pPr>
          <w:hyperlink w:anchor="_Toc193122969" w:history="1">
            <w:r w:rsidRPr="00E1421C">
              <w:rPr>
                <w:rStyle w:val="Hyperkobling"/>
                <w:noProof/>
                <w:lang w:bidi="ne-NP"/>
              </w:rPr>
              <w:t>Konklusjon og anbefalinger</w:t>
            </w:r>
            <w:r>
              <w:rPr>
                <w:noProof/>
                <w:webHidden/>
              </w:rPr>
              <w:tab/>
            </w:r>
            <w:r>
              <w:rPr>
                <w:noProof/>
                <w:webHidden/>
              </w:rPr>
              <w:fldChar w:fldCharType="begin"/>
            </w:r>
            <w:r>
              <w:rPr>
                <w:noProof/>
                <w:webHidden/>
              </w:rPr>
              <w:instrText xml:space="preserve"> PAGEREF _Toc193122969 \h </w:instrText>
            </w:r>
            <w:r>
              <w:rPr>
                <w:noProof/>
                <w:webHidden/>
              </w:rPr>
            </w:r>
            <w:r>
              <w:rPr>
                <w:noProof/>
                <w:webHidden/>
              </w:rPr>
              <w:fldChar w:fldCharType="separate"/>
            </w:r>
            <w:r>
              <w:rPr>
                <w:noProof/>
                <w:webHidden/>
              </w:rPr>
              <w:t>4</w:t>
            </w:r>
            <w:r>
              <w:rPr>
                <w:noProof/>
                <w:webHidden/>
              </w:rPr>
              <w:fldChar w:fldCharType="end"/>
            </w:r>
          </w:hyperlink>
        </w:p>
        <w:p w14:paraId="49690726" w14:textId="2995DE9C" w:rsidR="00C706D2" w:rsidRDefault="00C706D2">
          <w:pPr>
            <w:pStyle w:val="INNH2"/>
            <w:tabs>
              <w:tab w:val="right" w:leader="dot" w:pos="9060"/>
            </w:tabs>
            <w:rPr>
              <w:rFonts w:cstheme="minorBidi"/>
              <w:noProof/>
              <w:kern w:val="2"/>
              <w:sz w:val="24"/>
              <w:szCs w:val="24"/>
              <w14:ligatures w14:val="standardContextual"/>
            </w:rPr>
          </w:pPr>
          <w:hyperlink w:anchor="_Toc193122970" w:history="1">
            <w:r w:rsidRPr="00E1421C">
              <w:rPr>
                <w:rStyle w:val="Hyperkobling"/>
                <w:noProof/>
                <w:lang w:bidi="ne-NP"/>
              </w:rPr>
              <w:t>Sammendrag av anbefalingene</w:t>
            </w:r>
            <w:r>
              <w:rPr>
                <w:noProof/>
                <w:webHidden/>
              </w:rPr>
              <w:tab/>
            </w:r>
            <w:r>
              <w:rPr>
                <w:noProof/>
                <w:webHidden/>
              </w:rPr>
              <w:fldChar w:fldCharType="begin"/>
            </w:r>
            <w:r>
              <w:rPr>
                <w:noProof/>
                <w:webHidden/>
              </w:rPr>
              <w:instrText xml:space="preserve"> PAGEREF _Toc193122970 \h </w:instrText>
            </w:r>
            <w:r>
              <w:rPr>
                <w:noProof/>
                <w:webHidden/>
              </w:rPr>
            </w:r>
            <w:r>
              <w:rPr>
                <w:noProof/>
                <w:webHidden/>
              </w:rPr>
              <w:fldChar w:fldCharType="separate"/>
            </w:r>
            <w:r>
              <w:rPr>
                <w:noProof/>
                <w:webHidden/>
              </w:rPr>
              <w:t>5</w:t>
            </w:r>
            <w:r>
              <w:rPr>
                <w:noProof/>
                <w:webHidden/>
              </w:rPr>
              <w:fldChar w:fldCharType="end"/>
            </w:r>
          </w:hyperlink>
        </w:p>
        <w:p w14:paraId="5D441525" w14:textId="6956691F" w:rsidR="00C706D2" w:rsidRDefault="00C706D2">
          <w:pPr>
            <w:pStyle w:val="INNH3"/>
            <w:tabs>
              <w:tab w:val="right" w:leader="dot" w:pos="9060"/>
            </w:tabs>
            <w:rPr>
              <w:rFonts w:cstheme="minorBidi"/>
              <w:noProof/>
              <w:kern w:val="2"/>
              <w:sz w:val="24"/>
              <w:szCs w:val="24"/>
              <w14:ligatures w14:val="standardContextual"/>
            </w:rPr>
          </w:pPr>
          <w:hyperlink w:anchor="_Toc193122971" w:history="1">
            <w:r w:rsidRPr="00E1421C">
              <w:rPr>
                <w:rStyle w:val="Hyperkobling"/>
                <w:noProof/>
                <w:lang w:bidi="ne-NP"/>
              </w:rPr>
              <w:t>Infrastruktur</w:t>
            </w:r>
            <w:r>
              <w:rPr>
                <w:noProof/>
                <w:webHidden/>
              </w:rPr>
              <w:tab/>
            </w:r>
            <w:r>
              <w:rPr>
                <w:noProof/>
                <w:webHidden/>
              </w:rPr>
              <w:fldChar w:fldCharType="begin"/>
            </w:r>
            <w:r>
              <w:rPr>
                <w:noProof/>
                <w:webHidden/>
              </w:rPr>
              <w:instrText xml:space="preserve"> PAGEREF _Toc193122971 \h </w:instrText>
            </w:r>
            <w:r>
              <w:rPr>
                <w:noProof/>
                <w:webHidden/>
              </w:rPr>
            </w:r>
            <w:r>
              <w:rPr>
                <w:noProof/>
                <w:webHidden/>
              </w:rPr>
              <w:fldChar w:fldCharType="separate"/>
            </w:r>
            <w:r>
              <w:rPr>
                <w:noProof/>
                <w:webHidden/>
              </w:rPr>
              <w:t>5</w:t>
            </w:r>
            <w:r>
              <w:rPr>
                <w:noProof/>
                <w:webHidden/>
              </w:rPr>
              <w:fldChar w:fldCharType="end"/>
            </w:r>
          </w:hyperlink>
        </w:p>
        <w:p w14:paraId="17EC0C34" w14:textId="0EC1A1B8" w:rsidR="00C706D2" w:rsidRDefault="00C706D2">
          <w:pPr>
            <w:pStyle w:val="INNH3"/>
            <w:tabs>
              <w:tab w:val="right" w:leader="dot" w:pos="9060"/>
            </w:tabs>
            <w:rPr>
              <w:rFonts w:cstheme="minorBidi"/>
              <w:noProof/>
              <w:kern w:val="2"/>
              <w:sz w:val="24"/>
              <w:szCs w:val="24"/>
              <w14:ligatures w14:val="standardContextual"/>
            </w:rPr>
          </w:pPr>
          <w:hyperlink w:anchor="_Toc193122972" w:history="1">
            <w:r w:rsidRPr="00E1421C">
              <w:rPr>
                <w:rStyle w:val="Hyperkobling"/>
                <w:noProof/>
                <w:lang w:bidi="ne-NP"/>
              </w:rPr>
              <w:t>Kompetanse</w:t>
            </w:r>
            <w:r>
              <w:rPr>
                <w:noProof/>
                <w:webHidden/>
              </w:rPr>
              <w:tab/>
            </w:r>
            <w:r>
              <w:rPr>
                <w:noProof/>
                <w:webHidden/>
              </w:rPr>
              <w:fldChar w:fldCharType="begin"/>
            </w:r>
            <w:r>
              <w:rPr>
                <w:noProof/>
                <w:webHidden/>
              </w:rPr>
              <w:instrText xml:space="preserve"> PAGEREF _Toc193122972 \h </w:instrText>
            </w:r>
            <w:r>
              <w:rPr>
                <w:noProof/>
                <w:webHidden/>
              </w:rPr>
            </w:r>
            <w:r>
              <w:rPr>
                <w:noProof/>
                <w:webHidden/>
              </w:rPr>
              <w:fldChar w:fldCharType="separate"/>
            </w:r>
            <w:r>
              <w:rPr>
                <w:noProof/>
                <w:webHidden/>
              </w:rPr>
              <w:t>6</w:t>
            </w:r>
            <w:r>
              <w:rPr>
                <w:noProof/>
                <w:webHidden/>
              </w:rPr>
              <w:fldChar w:fldCharType="end"/>
            </w:r>
          </w:hyperlink>
        </w:p>
        <w:p w14:paraId="559CDF9C" w14:textId="6ED2C153" w:rsidR="00C706D2" w:rsidRDefault="00C706D2">
          <w:pPr>
            <w:pStyle w:val="INNH3"/>
            <w:tabs>
              <w:tab w:val="right" w:leader="dot" w:pos="9060"/>
            </w:tabs>
            <w:rPr>
              <w:rFonts w:cstheme="minorBidi"/>
              <w:noProof/>
              <w:kern w:val="2"/>
              <w:sz w:val="24"/>
              <w:szCs w:val="24"/>
              <w14:ligatures w14:val="standardContextual"/>
            </w:rPr>
          </w:pPr>
          <w:hyperlink w:anchor="_Toc193122973" w:history="1">
            <w:r w:rsidRPr="00E1421C">
              <w:rPr>
                <w:rStyle w:val="Hyperkobling"/>
                <w:noProof/>
                <w:lang w:bidi="ne-NP"/>
              </w:rPr>
              <w:t>Spare tid for kliniker/forsker</w:t>
            </w:r>
            <w:r>
              <w:rPr>
                <w:noProof/>
                <w:webHidden/>
              </w:rPr>
              <w:tab/>
            </w:r>
            <w:r>
              <w:rPr>
                <w:noProof/>
                <w:webHidden/>
              </w:rPr>
              <w:fldChar w:fldCharType="begin"/>
            </w:r>
            <w:r>
              <w:rPr>
                <w:noProof/>
                <w:webHidden/>
              </w:rPr>
              <w:instrText xml:space="preserve"> PAGEREF _Toc193122973 \h </w:instrText>
            </w:r>
            <w:r>
              <w:rPr>
                <w:noProof/>
                <w:webHidden/>
              </w:rPr>
            </w:r>
            <w:r>
              <w:rPr>
                <w:noProof/>
                <w:webHidden/>
              </w:rPr>
              <w:fldChar w:fldCharType="separate"/>
            </w:r>
            <w:r>
              <w:rPr>
                <w:noProof/>
                <w:webHidden/>
              </w:rPr>
              <w:t>6</w:t>
            </w:r>
            <w:r>
              <w:rPr>
                <w:noProof/>
                <w:webHidden/>
              </w:rPr>
              <w:fldChar w:fldCharType="end"/>
            </w:r>
          </w:hyperlink>
        </w:p>
        <w:p w14:paraId="7E3B50C4" w14:textId="16D19697" w:rsidR="00C706D2" w:rsidRDefault="00C706D2">
          <w:pPr>
            <w:pStyle w:val="INNH3"/>
            <w:tabs>
              <w:tab w:val="right" w:leader="dot" w:pos="9060"/>
            </w:tabs>
            <w:rPr>
              <w:rFonts w:cstheme="minorBidi"/>
              <w:noProof/>
              <w:kern w:val="2"/>
              <w:sz w:val="24"/>
              <w:szCs w:val="24"/>
              <w14:ligatures w14:val="standardContextual"/>
            </w:rPr>
          </w:pPr>
          <w:hyperlink w:anchor="_Toc193122974" w:history="1">
            <w:r w:rsidRPr="00E1421C">
              <w:rPr>
                <w:rStyle w:val="Hyperkobling"/>
                <w:rFonts w:eastAsia="Times New Roman"/>
                <w:noProof/>
                <w:lang w:bidi="ne-NP"/>
              </w:rPr>
              <w:t>Kvalitet/internkontroll</w:t>
            </w:r>
            <w:r>
              <w:rPr>
                <w:noProof/>
                <w:webHidden/>
              </w:rPr>
              <w:tab/>
            </w:r>
            <w:r>
              <w:rPr>
                <w:noProof/>
                <w:webHidden/>
              </w:rPr>
              <w:fldChar w:fldCharType="begin"/>
            </w:r>
            <w:r>
              <w:rPr>
                <w:noProof/>
                <w:webHidden/>
              </w:rPr>
              <w:instrText xml:space="preserve"> PAGEREF _Toc193122974 \h </w:instrText>
            </w:r>
            <w:r>
              <w:rPr>
                <w:noProof/>
                <w:webHidden/>
              </w:rPr>
            </w:r>
            <w:r>
              <w:rPr>
                <w:noProof/>
                <w:webHidden/>
              </w:rPr>
              <w:fldChar w:fldCharType="separate"/>
            </w:r>
            <w:r>
              <w:rPr>
                <w:noProof/>
                <w:webHidden/>
              </w:rPr>
              <w:t>7</w:t>
            </w:r>
            <w:r>
              <w:rPr>
                <w:noProof/>
                <w:webHidden/>
              </w:rPr>
              <w:fldChar w:fldCharType="end"/>
            </w:r>
          </w:hyperlink>
        </w:p>
        <w:p w14:paraId="44965B06" w14:textId="681674E6" w:rsidR="00C706D2" w:rsidRDefault="00C706D2">
          <w:pPr>
            <w:pStyle w:val="INNH3"/>
            <w:tabs>
              <w:tab w:val="right" w:leader="dot" w:pos="9060"/>
            </w:tabs>
            <w:rPr>
              <w:rFonts w:cstheme="minorBidi"/>
              <w:noProof/>
              <w:kern w:val="2"/>
              <w:sz w:val="24"/>
              <w:szCs w:val="24"/>
              <w14:ligatures w14:val="standardContextual"/>
            </w:rPr>
          </w:pPr>
          <w:hyperlink w:anchor="_Toc193122975" w:history="1">
            <w:r w:rsidRPr="00E1421C">
              <w:rPr>
                <w:rStyle w:val="Hyperkobling"/>
                <w:noProof/>
                <w:lang w:bidi="ne-NP"/>
              </w:rPr>
              <w:t>Annet</w:t>
            </w:r>
            <w:r>
              <w:rPr>
                <w:noProof/>
                <w:webHidden/>
              </w:rPr>
              <w:tab/>
            </w:r>
            <w:r>
              <w:rPr>
                <w:noProof/>
                <w:webHidden/>
              </w:rPr>
              <w:fldChar w:fldCharType="begin"/>
            </w:r>
            <w:r>
              <w:rPr>
                <w:noProof/>
                <w:webHidden/>
              </w:rPr>
              <w:instrText xml:space="preserve"> PAGEREF _Toc193122975 \h </w:instrText>
            </w:r>
            <w:r>
              <w:rPr>
                <w:noProof/>
                <w:webHidden/>
              </w:rPr>
            </w:r>
            <w:r>
              <w:rPr>
                <w:noProof/>
                <w:webHidden/>
              </w:rPr>
              <w:fldChar w:fldCharType="separate"/>
            </w:r>
            <w:r>
              <w:rPr>
                <w:noProof/>
                <w:webHidden/>
              </w:rPr>
              <w:t>7</w:t>
            </w:r>
            <w:r>
              <w:rPr>
                <w:noProof/>
                <w:webHidden/>
              </w:rPr>
              <w:fldChar w:fldCharType="end"/>
            </w:r>
          </w:hyperlink>
        </w:p>
        <w:p w14:paraId="572EDDB4" w14:textId="00E8B9D1" w:rsidR="00C706D2" w:rsidRDefault="00C706D2">
          <w:pPr>
            <w:pStyle w:val="INNH2"/>
            <w:tabs>
              <w:tab w:val="right" w:leader="dot" w:pos="9060"/>
            </w:tabs>
            <w:rPr>
              <w:rFonts w:cstheme="minorBidi"/>
              <w:noProof/>
              <w:kern w:val="2"/>
              <w:sz w:val="24"/>
              <w:szCs w:val="24"/>
              <w14:ligatures w14:val="standardContextual"/>
            </w:rPr>
          </w:pPr>
          <w:hyperlink w:anchor="_Toc193122976" w:history="1">
            <w:r w:rsidRPr="00E1421C">
              <w:rPr>
                <w:rStyle w:val="Hyperkobling"/>
                <w:noProof/>
                <w:lang w:bidi="ne-NP"/>
              </w:rPr>
              <w:t>Videre arbeid</w:t>
            </w:r>
            <w:r>
              <w:rPr>
                <w:noProof/>
                <w:webHidden/>
              </w:rPr>
              <w:tab/>
            </w:r>
            <w:r>
              <w:rPr>
                <w:noProof/>
                <w:webHidden/>
              </w:rPr>
              <w:fldChar w:fldCharType="begin"/>
            </w:r>
            <w:r>
              <w:rPr>
                <w:noProof/>
                <w:webHidden/>
              </w:rPr>
              <w:instrText xml:space="preserve"> PAGEREF _Toc193122976 \h </w:instrText>
            </w:r>
            <w:r>
              <w:rPr>
                <w:noProof/>
                <w:webHidden/>
              </w:rPr>
            </w:r>
            <w:r>
              <w:rPr>
                <w:noProof/>
                <w:webHidden/>
              </w:rPr>
              <w:fldChar w:fldCharType="separate"/>
            </w:r>
            <w:r>
              <w:rPr>
                <w:noProof/>
                <w:webHidden/>
              </w:rPr>
              <w:t>7</w:t>
            </w:r>
            <w:r>
              <w:rPr>
                <w:noProof/>
                <w:webHidden/>
              </w:rPr>
              <w:fldChar w:fldCharType="end"/>
            </w:r>
          </w:hyperlink>
        </w:p>
        <w:p w14:paraId="3BFC2B24" w14:textId="2245376E" w:rsidR="00C706D2" w:rsidRDefault="00C706D2">
          <w:pPr>
            <w:pStyle w:val="INNH2"/>
            <w:tabs>
              <w:tab w:val="right" w:leader="dot" w:pos="9060"/>
            </w:tabs>
            <w:rPr>
              <w:rFonts w:cstheme="minorBidi"/>
              <w:noProof/>
              <w:kern w:val="2"/>
              <w:sz w:val="24"/>
              <w:szCs w:val="24"/>
              <w14:ligatures w14:val="standardContextual"/>
            </w:rPr>
          </w:pPr>
          <w:hyperlink w:anchor="_Toc193122977" w:history="1">
            <w:r w:rsidRPr="00E1421C">
              <w:rPr>
                <w:rStyle w:val="Hyperkobling"/>
                <w:rFonts w:eastAsiaTheme="minorHAnsi"/>
                <w:noProof/>
                <w:lang w:eastAsia="en-US"/>
              </w:rPr>
              <w:t>Viktige vedlegg</w:t>
            </w:r>
            <w:r>
              <w:rPr>
                <w:noProof/>
                <w:webHidden/>
              </w:rPr>
              <w:tab/>
            </w:r>
            <w:r>
              <w:rPr>
                <w:noProof/>
                <w:webHidden/>
              </w:rPr>
              <w:fldChar w:fldCharType="begin"/>
            </w:r>
            <w:r>
              <w:rPr>
                <w:noProof/>
                <w:webHidden/>
              </w:rPr>
              <w:instrText xml:space="preserve"> PAGEREF _Toc193122977 \h </w:instrText>
            </w:r>
            <w:r>
              <w:rPr>
                <w:noProof/>
                <w:webHidden/>
              </w:rPr>
            </w:r>
            <w:r>
              <w:rPr>
                <w:noProof/>
                <w:webHidden/>
              </w:rPr>
              <w:fldChar w:fldCharType="separate"/>
            </w:r>
            <w:r>
              <w:rPr>
                <w:noProof/>
                <w:webHidden/>
              </w:rPr>
              <w:t>8</w:t>
            </w:r>
            <w:r>
              <w:rPr>
                <w:noProof/>
                <w:webHidden/>
              </w:rPr>
              <w:fldChar w:fldCharType="end"/>
            </w:r>
          </w:hyperlink>
        </w:p>
        <w:p w14:paraId="46C0FF99" w14:textId="540FDB5E" w:rsidR="00C706D2" w:rsidRPr="00C706D2" w:rsidRDefault="00C706D2" w:rsidP="00C706D2">
          <w:r>
            <w:rPr>
              <w:b/>
              <w:bCs/>
            </w:rPr>
            <w:fldChar w:fldCharType="end"/>
          </w:r>
        </w:p>
      </w:sdtContent>
    </w:sdt>
    <w:p w14:paraId="36FE2CF0" w14:textId="77777777" w:rsidR="00C706D2" w:rsidRPr="00C706D2" w:rsidRDefault="00C706D2" w:rsidP="00C706D2">
      <w:pPr>
        <w:rPr>
          <w:rFonts w:ascii="Calibri" w:hAnsi="Calibri"/>
          <w:b/>
        </w:rPr>
      </w:pPr>
      <w:r w:rsidRPr="00C706D2">
        <w:rPr>
          <w:rFonts w:ascii="Calibri" w:hAnsi="Calibri"/>
          <w:b/>
        </w:rPr>
        <w:t>Versjonshistorikk</w:t>
      </w:r>
    </w:p>
    <w:tbl>
      <w:tblPr>
        <w:tblStyle w:val="Tabellrutenett"/>
        <w:tblW w:w="0" w:type="auto"/>
        <w:tblLook w:val="04A0" w:firstRow="1" w:lastRow="0" w:firstColumn="1" w:lastColumn="0" w:noHBand="0" w:noVBand="1"/>
      </w:tblPr>
      <w:tblGrid>
        <w:gridCol w:w="959"/>
        <w:gridCol w:w="5840"/>
        <w:gridCol w:w="1673"/>
      </w:tblGrid>
      <w:tr w:rsidR="00C706D2" w:rsidRPr="00C706D2" w14:paraId="3B78E3BE" w14:textId="77777777" w:rsidTr="00C706D2">
        <w:tc>
          <w:tcPr>
            <w:tcW w:w="959" w:type="dxa"/>
            <w:shd w:val="clear" w:color="auto" w:fill="D9D9D9"/>
          </w:tcPr>
          <w:p w14:paraId="500ED292" w14:textId="77777777" w:rsidR="00C706D2" w:rsidRPr="00C706D2" w:rsidRDefault="00C706D2" w:rsidP="00C706D2">
            <w:pPr>
              <w:rPr>
                <w:rFonts w:ascii="Calibri" w:hAnsi="Calibri"/>
              </w:rPr>
            </w:pPr>
            <w:r w:rsidRPr="00C706D2">
              <w:rPr>
                <w:rFonts w:ascii="Calibri" w:hAnsi="Calibri"/>
              </w:rPr>
              <w:t>Versjon</w:t>
            </w:r>
          </w:p>
        </w:tc>
        <w:tc>
          <w:tcPr>
            <w:tcW w:w="5840" w:type="dxa"/>
            <w:shd w:val="clear" w:color="auto" w:fill="D9D9D9"/>
          </w:tcPr>
          <w:p w14:paraId="63B10DA5" w14:textId="77777777" w:rsidR="00C706D2" w:rsidRPr="00C706D2" w:rsidRDefault="00C706D2" w:rsidP="00C706D2">
            <w:pPr>
              <w:rPr>
                <w:rFonts w:ascii="Calibri" w:hAnsi="Calibri"/>
              </w:rPr>
            </w:pPr>
            <w:r w:rsidRPr="00C706D2">
              <w:rPr>
                <w:rFonts w:ascii="Calibri" w:hAnsi="Calibri"/>
              </w:rPr>
              <w:t>Endring</w:t>
            </w:r>
          </w:p>
        </w:tc>
        <w:tc>
          <w:tcPr>
            <w:tcW w:w="1673" w:type="dxa"/>
            <w:shd w:val="clear" w:color="auto" w:fill="D9D9D9"/>
          </w:tcPr>
          <w:p w14:paraId="1A654E48" w14:textId="77777777" w:rsidR="00C706D2" w:rsidRPr="00C706D2" w:rsidRDefault="00C706D2" w:rsidP="00C706D2">
            <w:pPr>
              <w:rPr>
                <w:rFonts w:ascii="Calibri" w:hAnsi="Calibri"/>
              </w:rPr>
            </w:pPr>
            <w:r w:rsidRPr="00C706D2">
              <w:rPr>
                <w:rFonts w:ascii="Calibri" w:hAnsi="Calibri"/>
              </w:rPr>
              <w:t>Dato</w:t>
            </w:r>
          </w:p>
        </w:tc>
      </w:tr>
      <w:tr w:rsidR="00C706D2" w:rsidRPr="00C706D2" w14:paraId="5174244A" w14:textId="77777777" w:rsidTr="00962057">
        <w:tc>
          <w:tcPr>
            <w:tcW w:w="959" w:type="dxa"/>
          </w:tcPr>
          <w:p w14:paraId="27C5C3B8" w14:textId="77777777" w:rsidR="00C706D2" w:rsidRPr="00C706D2" w:rsidRDefault="00C706D2" w:rsidP="00C706D2">
            <w:pPr>
              <w:rPr>
                <w:rFonts w:ascii="Calibri" w:hAnsi="Calibri"/>
              </w:rPr>
            </w:pPr>
            <w:r w:rsidRPr="00C706D2">
              <w:rPr>
                <w:rFonts w:ascii="Calibri" w:hAnsi="Calibri"/>
              </w:rPr>
              <w:t>0.x</w:t>
            </w:r>
          </w:p>
        </w:tc>
        <w:tc>
          <w:tcPr>
            <w:tcW w:w="5840" w:type="dxa"/>
          </w:tcPr>
          <w:p w14:paraId="68F23F8F" w14:textId="77777777" w:rsidR="00C706D2" w:rsidRPr="00C706D2" w:rsidRDefault="00C706D2" w:rsidP="00C706D2">
            <w:pPr>
              <w:rPr>
                <w:rFonts w:ascii="Calibri" w:hAnsi="Calibri"/>
              </w:rPr>
            </w:pPr>
            <w:r w:rsidRPr="00C706D2">
              <w:rPr>
                <w:rFonts w:ascii="Calibri" w:hAnsi="Calibri"/>
              </w:rPr>
              <w:t>Første versjon, laget til møte i AG Kartlegging 27. mai 2021. Og div. senere revisjoner, se i versjonshistorikken til versjon 1.0</w:t>
            </w:r>
          </w:p>
        </w:tc>
        <w:tc>
          <w:tcPr>
            <w:tcW w:w="1673" w:type="dxa"/>
          </w:tcPr>
          <w:p w14:paraId="307D495C" w14:textId="77777777" w:rsidR="00C706D2" w:rsidRPr="00C706D2" w:rsidRDefault="00C706D2" w:rsidP="00C706D2">
            <w:pPr>
              <w:rPr>
                <w:rFonts w:ascii="Calibri" w:hAnsi="Calibri"/>
              </w:rPr>
            </w:pPr>
            <w:r w:rsidRPr="00C706D2">
              <w:rPr>
                <w:rFonts w:ascii="Calibri" w:hAnsi="Calibri"/>
              </w:rPr>
              <w:t>26. mai 2021</w:t>
            </w:r>
          </w:p>
        </w:tc>
      </w:tr>
      <w:tr w:rsidR="00C706D2" w:rsidRPr="00C706D2" w14:paraId="6EEF8BD6" w14:textId="77777777" w:rsidTr="00962057">
        <w:tc>
          <w:tcPr>
            <w:tcW w:w="959" w:type="dxa"/>
          </w:tcPr>
          <w:p w14:paraId="6FA10ADD" w14:textId="77777777" w:rsidR="00C706D2" w:rsidRPr="00C706D2" w:rsidRDefault="00C706D2" w:rsidP="00C706D2">
            <w:pPr>
              <w:rPr>
                <w:rFonts w:ascii="Calibri" w:hAnsi="Calibri"/>
              </w:rPr>
            </w:pPr>
            <w:r w:rsidRPr="00C706D2">
              <w:rPr>
                <w:rFonts w:ascii="Calibri" w:hAnsi="Calibri"/>
              </w:rPr>
              <w:t>1.0</w:t>
            </w:r>
          </w:p>
        </w:tc>
        <w:tc>
          <w:tcPr>
            <w:tcW w:w="5840" w:type="dxa"/>
          </w:tcPr>
          <w:p w14:paraId="102AB447" w14:textId="77777777" w:rsidR="00C706D2" w:rsidRPr="00C706D2" w:rsidRDefault="00C706D2" w:rsidP="00C706D2">
            <w:pPr>
              <w:rPr>
                <w:rFonts w:ascii="Calibri" w:hAnsi="Calibri"/>
              </w:rPr>
            </w:pPr>
            <w:r w:rsidRPr="00C706D2">
              <w:rPr>
                <w:rFonts w:ascii="Calibri" w:hAnsi="Calibri"/>
              </w:rPr>
              <w:t>Versjon sendt til gjennomsyn i og utenfor NorCRIN i juni 2024</w:t>
            </w:r>
          </w:p>
        </w:tc>
        <w:tc>
          <w:tcPr>
            <w:tcW w:w="1673" w:type="dxa"/>
          </w:tcPr>
          <w:p w14:paraId="5152C229" w14:textId="77777777" w:rsidR="00C706D2" w:rsidRPr="00C706D2" w:rsidRDefault="00C706D2" w:rsidP="00C706D2">
            <w:pPr>
              <w:rPr>
                <w:rFonts w:ascii="Calibri" w:hAnsi="Calibri"/>
              </w:rPr>
            </w:pPr>
            <w:r w:rsidRPr="00C706D2">
              <w:rPr>
                <w:rFonts w:ascii="Calibri" w:hAnsi="Calibri"/>
              </w:rPr>
              <w:t>9. jun. 2024</w:t>
            </w:r>
          </w:p>
        </w:tc>
      </w:tr>
      <w:tr w:rsidR="00C706D2" w:rsidRPr="00C706D2" w14:paraId="2969550A" w14:textId="77777777" w:rsidTr="00962057">
        <w:tc>
          <w:tcPr>
            <w:tcW w:w="959" w:type="dxa"/>
          </w:tcPr>
          <w:p w14:paraId="76D494FD" w14:textId="77777777" w:rsidR="00C706D2" w:rsidRPr="00C706D2" w:rsidRDefault="00C706D2" w:rsidP="00C706D2">
            <w:pPr>
              <w:rPr>
                <w:rFonts w:ascii="Calibri" w:hAnsi="Calibri"/>
              </w:rPr>
            </w:pPr>
            <w:r w:rsidRPr="00C706D2">
              <w:rPr>
                <w:rFonts w:ascii="Calibri" w:hAnsi="Calibri"/>
              </w:rPr>
              <w:t>2.0</w:t>
            </w:r>
          </w:p>
        </w:tc>
        <w:tc>
          <w:tcPr>
            <w:tcW w:w="5840" w:type="dxa"/>
          </w:tcPr>
          <w:p w14:paraId="54649EAD" w14:textId="77777777" w:rsidR="00C706D2" w:rsidRPr="00C706D2" w:rsidRDefault="00C706D2" w:rsidP="00C706D2">
            <w:pPr>
              <w:rPr>
                <w:rFonts w:ascii="Calibri" w:hAnsi="Calibri"/>
              </w:rPr>
            </w:pPr>
            <w:r w:rsidRPr="00C706D2">
              <w:rPr>
                <w:rFonts w:ascii="Calibri" w:hAnsi="Calibri"/>
              </w:rPr>
              <w:t>Versjon der innspillene fra juni er tatt inn, og som ble lagt ut til gjennomsyn august/september 2024.</w:t>
            </w:r>
          </w:p>
        </w:tc>
        <w:tc>
          <w:tcPr>
            <w:tcW w:w="1673" w:type="dxa"/>
          </w:tcPr>
          <w:p w14:paraId="33283AED" w14:textId="77777777" w:rsidR="00C706D2" w:rsidRPr="00C706D2" w:rsidRDefault="00C706D2" w:rsidP="00C706D2">
            <w:pPr>
              <w:rPr>
                <w:rFonts w:ascii="Calibri" w:hAnsi="Calibri"/>
              </w:rPr>
            </w:pPr>
            <w:r w:rsidRPr="00C706D2">
              <w:rPr>
                <w:rFonts w:ascii="Calibri" w:hAnsi="Calibri"/>
              </w:rPr>
              <w:t>15. aug. 2024</w:t>
            </w:r>
          </w:p>
        </w:tc>
      </w:tr>
      <w:tr w:rsidR="00C706D2" w:rsidRPr="00C706D2" w14:paraId="05E43C2B" w14:textId="77777777" w:rsidTr="00962057">
        <w:tc>
          <w:tcPr>
            <w:tcW w:w="959" w:type="dxa"/>
          </w:tcPr>
          <w:p w14:paraId="48F02A49" w14:textId="77777777" w:rsidR="00C706D2" w:rsidRPr="00C706D2" w:rsidRDefault="00C706D2" w:rsidP="00C706D2">
            <w:pPr>
              <w:rPr>
                <w:rFonts w:ascii="Calibri" w:hAnsi="Calibri"/>
              </w:rPr>
            </w:pPr>
            <w:r w:rsidRPr="00C706D2">
              <w:rPr>
                <w:rFonts w:ascii="Calibri" w:hAnsi="Calibri"/>
              </w:rPr>
              <w:t>2.1</w:t>
            </w:r>
          </w:p>
        </w:tc>
        <w:tc>
          <w:tcPr>
            <w:tcW w:w="5840" w:type="dxa"/>
          </w:tcPr>
          <w:p w14:paraId="40932190" w14:textId="77777777" w:rsidR="00C706D2" w:rsidRPr="00C706D2" w:rsidRDefault="00C706D2" w:rsidP="00C706D2">
            <w:pPr>
              <w:rPr>
                <w:rFonts w:ascii="Calibri" w:hAnsi="Calibri"/>
              </w:rPr>
            </w:pPr>
            <w:r w:rsidRPr="00C706D2">
              <w:rPr>
                <w:rFonts w:ascii="Calibri" w:hAnsi="Calibri"/>
              </w:rPr>
              <w:t>Versjon 2.0, men der avsnittet Sammendrag er lagt til.</w:t>
            </w:r>
          </w:p>
        </w:tc>
        <w:tc>
          <w:tcPr>
            <w:tcW w:w="1673" w:type="dxa"/>
          </w:tcPr>
          <w:p w14:paraId="677B727E" w14:textId="77777777" w:rsidR="00C706D2" w:rsidRPr="00C706D2" w:rsidRDefault="00C706D2" w:rsidP="00C706D2">
            <w:pPr>
              <w:rPr>
                <w:rFonts w:ascii="Calibri" w:hAnsi="Calibri"/>
              </w:rPr>
            </w:pPr>
            <w:r w:rsidRPr="00C706D2">
              <w:rPr>
                <w:rFonts w:ascii="Calibri" w:hAnsi="Calibri"/>
              </w:rPr>
              <w:t>27. aug. 2024</w:t>
            </w:r>
          </w:p>
        </w:tc>
      </w:tr>
      <w:tr w:rsidR="00C706D2" w:rsidRPr="00C706D2" w14:paraId="3FF668F1" w14:textId="77777777" w:rsidTr="00962057">
        <w:tc>
          <w:tcPr>
            <w:tcW w:w="959" w:type="dxa"/>
          </w:tcPr>
          <w:p w14:paraId="1FE502C8" w14:textId="77777777" w:rsidR="00C706D2" w:rsidRPr="00C706D2" w:rsidRDefault="00C706D2" w:rsidP="00C706D2">
            <w:pPr>
              <w:rPr>
                <w:rFonts w:ascii="Calibri" w:hAnsi="Calibri"/>
              </w:rPr>
            </w:pPr>
            <w:r w:rsidRPr="00C706D2">
              <w:rPr>
                <w:rFonts w:ascii="Calibri" w:hAnsi="Calibri"/>
              </w:rPr>
              <w:t>2.5</w:t>
            </w:r>
          </w:p>
        </w:tc>
        <w:tc>
          <w:tcPr>
            <w:tcW w:w="5840" w:type="dxa"/>
          </w:tcPr>
          <w:p w14:paraId="2FA87F3C" w14:textId="77777777" w:rsidR="00C706D2" w:rsidRPr="00C706D2" w:rsidRDefault="00C706D2" w:rsidP="00C706D2">
            <w:pPr>
              <w:rPr>
                <w:rFonts w:ascii="Calibri" w:hAnsi="Calibri"/>
              </w:rPr>
            </w:pPr>
            <w:r w:rsidRPr="00C706D2">
              <w:rPr>
                <w:rFonts w:ascii="Calibri" w:hAnsi="Calibri"/>
              </w:rPr>
              <w:t>Versjon der innspillene fra september 2024 er tatt inn</w:t>
            </w:r>
          </w:p>
        </w:tc>
        <w:tc>
          <w:tcPr>
            <w:tcW w:w="1673" w:type="dxa"/>
          </w:tcPr>
          <w:p w14:paraId="6E25ECB2" w14:textId="77777777" w:rsidR="00C706D2" w:rsidRPr="00C706D2" w:rsidRDefault="00C706D2" w:rsidP="00C706D2">
            <w:pPr>
              <w:rPr>
                <w:rFonts w:ascii="Calibri" w:hAnsi="Calibri"/>
              </w:rPr>
            </w:pPr>
            <w:r w:rsidRPr="00C706D2">
              <w:rPr>
                <w:rFonts w:ascii="Calibri" w:hAnsi="Calibri"/>
              </w:rPr>
              <w:t>22. okt. 2024</w:t>
            </w:r>
          </w:p>
        </w:tc>
      </w:tr>
      <w:tr w:rsidR="00C706D2" w:rsidRPr="00C706D2" w14:paraId="5ABF59EC" w14:textId="77777777" w:rsidTr="00962057">
        <w:tc>
          <w:tcPr>
            <w:tcW w:w="959" w:type="dxa"/>
          </w:tcPr>
          <w:p w14:paraId="16D2967D" w14:textId="2DED7904" w:rsidR="00C706D2" w:rsidRPr="00C706D2" w:rsidRDefault="00C706D2" w:rsidP="00C706D2">
            <w:pPr>
              <w:rPr>
                <w:rFonts w:ascii="Calibri" w:hAnsi="Calibri"/>
              </w:rPr>
            </w:pPr>
            <w:r>
              <w:rPr>
                <w:rFonts w:ascii="Calibri" w:hAnsi="Calibri"/>
              </w:rPr>
              <w:t>3.0</w:t>
            </w:r>
          </w:p>
        </w:tc>
        <w:tc>
          <w:tcPr>
            <w:tcW w:w="5840" w:type="dxa"/>
          </w:tcPr>
          <w:p w14:paraId="27E3F7FA" w14:textId="5173EB38" w:rsidR="00C706D2" w:rsidRPr="00C706D2" w:rsidRDefault="003D70E7" w:rsidP="00C706D2">
            <w:pPr>
              <w:rPr>
                <w:rFonts w:ascii="Calibri" w:hAnsi="Calibri"/>
              </w:rPr>
            </w:pPr>
            <w:r>
              <w:rPr>
                <w:rFonts w:ascii="Calibri" w:hAnsi="Calibri"/>
              </w:rPr>
              <w:t xml:space="preserve">Ny, mer kompakt rapport. </w:t>
            </w:r>
            <w:r w:rsidR="00C706D2">
              <w:rPr>
                <w:rFonts w:ascii="Calibri" w:hAnsi="Calibri"/>
              </w:rPr>
              <w:t>Lager et kort sammendrag av mandat, konklusjon og anbefalinger fra V2.5. Døper V2.5 om til en delrapport</w:t>
            </w:r>
            <w:r w:rsidR="00E941D1">
              <w:rPr>
                <w:rFonts w:ascii="Calibri" w:hAnsi="Calibri"/>
              </w:rPr>
              <w:t xml:space="preserve">, og legger det ved som et utfyllende dokument til rapporten. </w:t>
            </w:r>
          </w:p>
        </w:tc>
        <w:tc>
          <w:tcPr>
            <w:tcW w:w="1673" w:type="dxa"/>
          </w:tcPr>
          <w:p w14:paraId="6FACFEFE" w14:textId="3DB4C99D" w:rsidR="00C706D2" w:rsidRPr="00C706D2" w:rsidRDefault="00E941D1" w:rsidP="00C706D2">
            <w:pPr>
              <w:rPr>
                <w:rFonts w:ascii="Calibri" w:hAnsi="Calibri"/>
              </w:rPr>
            </w:pPr>
            <w:r>
              <w:rPr>
                <w:rFonts w:ascii="Calibri" w:hAnsi="Calibri"/>
              </w:rPr>
              <w:t xml:space="preserve">1. </w:t>
            </w:r>
            <w:r w:rsidR="00720383">
              <w:rPr>
                <w:rFonts w:ascii="Calibri" w:hAnsi="Calibri"/>
              </w:rPr>
              <w:t>april</w:t>
            </w:r>
            <w:r>
              <w:rPr>
                <w:rFonts w:ascii="Calibri" w:hAnsi="Calibri"/>
              </w:rPr>
              <w:t xml:space="preserve"> 2025</w:t>
            </w:r>
          </w:p>
        </w:tc>
      </w:tr>
      <w:tr w:rsidR="00E941D1" w:rsidRPr="00C706D2" w14:paraId="2BB48655" w14:textId="77777777" w:rsidTr="00962057">
        <w:tc>
          <w:tcPr>
            <w:tcW w:w="959" w:type="dxa"/>
          </w:tcPr>
          <w:p w14:paraId="59DB94A3" w14:textId="77777777" w:rsidR="00E941D1" w:rsidRDefault="00E941D1" w:rsidP="00C706D2">
            <w:pPr>
              <w:rPr>
                <w:rFonts w:ascii="Calibri" w:hAnsi="Calibri"/>
              </w:rPr>
            </w:pPr>
          </w:p>
        </w:tc>
        <w:tc>
          <w:tcPr>
            <w:tcW w:w="5840" w:type="dxa"/>
          </w:tcPr>
          <w:p w14:paraId="57E21E9C" w14:textId="77777777" w:rsidR="00E941D1" w:rsidRDefault="00E941D1" w:rsidP="00C706D2">
            <w:pPr>
              <w:rPr>
                <w:rFonts w:ascii="Calibri" w:hAnsi="Calibri"/>
              </w:rPr>
            </w:pPr>
          </w:p>
        </w:tc>
        <w:tc>
          <w:tcPr>
            <w:tcW w:w="1673" w:type="dxa"/>
          </w:tcPr>
          <w:p w14:paraId="18BD2802" w14:textId="77777777" w:rsidR="00E941D1" w:rsidRDefault="00E941D1" w:rsidP="00C706D2">
            <w:pPr>
              <w:rPr>
                <w:rFonts w:ascii="Calibri" w:hAnsi="Calibri"/>
              </w:rPr>
            </w:pPr>
          </w:p>
        </w:tc>
      </w:tr>
      <w:tr w:rsidR="00E941D1" w:rsidRPr="00C706D2" w14:paraId="19B736AA" w14:textId="77777777" w:rsidTr="00962057">
        <w:tc>
          <w:tcPr>
            <w:tcW w:w="959" w:type="dxa"/>
          </w:tcPr>
          <w:p w14:paraId="600032E7" w14:textId="77777777" w:rsidR="00E941D1" w:rsidRDefault="00E941D1" w:rsidP="00C706D2">
            <w:pPr>
              <w:rPr>
                <w:rFonts w:ascii="Calibri" w:hAnsi="Calibri"/>
              </w:rPr>
            </w:pPr>
          </w:p>
        </w:tc>
        <w:tc>
          <w:tcPr>
            <w:tcW w:w="5840" w:type="dxa"/>
          </w:tcPr>
          <w:p w14:paraId="02ADBA1D" w14:textId="77777777" w:rsidR="00E941D1" w:rsidRDefault="00E941D1" w:rsidP="00C706D2">
            <w:pPr>
              <w:rPr>
                <w:rFonts w:ascii="Calibri" w:hAnsi="Calibri"/>
              </w:rPr>
            </w:pPr>
          </w:p>
        </w:tc>
        <w:tc>
          <w:tcPr>
            <w:tcW w:w="1673" w:type="dxa"/>
          </w:tcPr>
          <w:p w14:paraId="5DC9971E" w14:textId="77777777" w:rsidR="00E941D1" w:rsidRDefault="00E941D1" w:rsidP="00C706D2">
            <w:pPr>
              <w:rPr>
                <w:rFonts w:ascii="Calibri" w:hAnsi="Calibri"/>
              </w:rPr>
            </w:pPr>
          </w:p>
        </w:tc>
      </w:tr>
    </w:tbl>
    <w:p w14:paraId="6A512A3A" w14:textId="77777777" w:rsidR="00C706D2" w:rsidRDefault="00C706D2">
      <w:pPr>
        <w:autoSpaceDE/>
        <w:autoSpaceDN/>
        <w:adjustRightInd/>
        <w:spacing w:after="160" w:line="259" w:lineRule="auto"/>
      </w:pPr>
    </w:p>
    <w:p w14:paraId="64934644" w14:textId="77777777" w:rsidR="00C706D2" w:rsidRDefault="00C706D2">
      <w:pPr>
        <w:autoSpaceDE/>
        <w:autoSpaceDN/>
        <w:adjustRightInd/>
        <w:spacing w:after="160" w:line="259" w:lineRule="auto"/>
      </w:pPr>
    </w:p>
    <w:p w14:paraId="5939B02E" w14:textId="46CDE9E8" w:rsidR="00C706D2" w:rsidRDefault="00C706D2">
      <w:pPr>
        <w:autoSpaceDE/>
        <w:autoSpaceDN/>
        <w:adjustRightInd/>
        <w:spacing w:after="160" w:line="259" w:lineRule="auto"/>
      </w:pPr>
      <w:r>
        <w:br w:type="page"/>
      </w:r>
    </w:p>
    <w:p w14:paraId="543E02CC" w14:textId="3E1C2B5E" w:rsidR="002A50E8" w:rsidRPr="004E1B85" w:rsidRDefault="002A50E8" w:rsidP="004E1B85">
      <w:pPr>
        <w:pStyle w:val="Overskrift1"/>
        <w:jc w:val="both"/>
      </w:pPr>
      <w:bookmarkStart w:id="1" w:name="_Toc193122967"/>
      <w:r w:rsidRPr="004E1B85">
        <w:lastRenderedPageBreak/>
        <w:t>Introduksjon</w:t>
      </w:r>
      <w:bookmarkEnd w:id="0"/>
      <w:bookmarkEnd w:id="1"/>
    </w:p>
    <w:p w14:paraId="69FE3AC7" w14:textId="56144E71" w:rsidR="002A50E8" w:rsidRPr="009D09CE" w:rsidRDefault="00295F60" w:rsidP="002A50E8">
      <w:r>
        <w:t>Denne r</w:t>
      </w:r>
      <w:r w:rsidR="002A50E8">
        <w:t xml:space="preserve">apporten gir et sett </w:t>
      </w:r>
      <w:r>
        <w:t xml:space="preserve">konkrete </w:t>
      </w:r>
      <w:r w:rsidR="002A50E8">
        <w:t xml:space="preserve">anbefalinger </w:t>
      </w:r>
      <w:r w:rsidR="00E871DE">
        <w:t xml:space="preserve">til </w:t>
      </w:r>
      <w:r w:rsidRPr="00AE0C03">
        <w:t>støtte</w:t>
      </w:r>
      <w:r>
        <w:t xml:space="preserve"> for</w:t>
      </w:r>
      <w:r w:rsidRPr="00AE0C03">
        <w:t xml:space="preserve"> HF og sykehus som ønsker</w:t>
      </w:r>
      <w:r>
        <w:t xml:space="preserve"> å</w:t>
      </w:r>
      <w:r w:rsidRPr="00AE0C03">
        <w:t xml:space="preserve"> </w:t>
      </w:r>
      <w:r>
        <w:t>etablere eller videre</w:t>
      </w:r>
      <w:r w:rsidRPr="00AE0C03">
        <w:t>utvikle egen infrastruktur for forskningsstøtte</w:t>
      </w:r>
      <w:r w:rsidR="00E871DE">
        <w:t>.</w:t>
      </w:r>
      <w:r>
        <w:t xml:space="preserve"> Anbefalingene er</w:t>
      </w:r>
      <w:r w:rsidR="002826D3">
        <w:t xml:space="preserve"> </w:t>
      </w:r>
      <w:r w:rsidR="002A50E8">
        <w:t>basert på en karlegging av forskningsstøtte i Norge og i utlandet</w:t>
      </w:r>
      <w:r w:rsidR="00126D42">
        <w:t>, se vedlegg 1 og 2</w:t>
      </w:r>
      <w:r w:rsidR="002A50E8">
        <w:t>.</w:t>
      </w:r>
      <w:r w:rsidR="002F041D" w:rsidRPr="002F041D">
        <w:t xml:space="preserve"> </w:t>
      </w:r>
      <w:r>
        <w:t xml:space="preserve">Denne rapporten med anbefalinger utgjør en viktig del av leveransene fra </w:t>
      </w:r>
      <w:r w:rsidRPr="009D09CE">
        <w:t>Arbeidspak</w:t>
      </w:r>
      <w:r>
        <w:t xml:space="preserve">ke 11 (AP11) </w:t>
      </w:r>
      <w:r w:rsidRPr="009D09CE">
        <w:t>i NorCRIN2</w:t>
      </w:r>
      <w:r>
        <w:t>-</w:t>
      </w:r>
      <w:r w:rsidRPr="009D09CE">
        <w:t>prosjekt</w:t>
      </w:r>
      <w:r>
        <w:t>et. Arbeidet er/blir utført i perioden 2020-2025</w:t>
      </w:r>
      <w:r w:rsidRPr="009D09CE">
        <w:t>.</w:t>
      </w:r>
      <w:r w:rsidR="002826D3">
        <w:t xml:space="preserve"> AP11 ønsker at rapporten skal være relevant både i og utenfor NorCRIN-nettverket</w:t>
      </w:r>
      <w:r w:rsidR="002826D3" w:rsidRPr="00AE0C03">
        <w:t>.</w:t>
      </w:r>
      <w:r w:rsidR="00E871DE">
        <w:t xml:space="preserve"> Anbefalingene vil bli oppdatert ettersom oppfølgingsarbeidet skrider frem.</w:t>
      </w:r>
    </w:p>
    <w:p w14:paraId="5921C8FF" w14:textId="77777777" w:rsidR="002A50E8" w:rsidRPr="009D09CE" w:rsidRDefault="002A50E8" w:rsidP="002A50E8">
      <w:r w:rsidRPr="009D09CE">
        <w:t xml:space="preserve">I flere land er det utviklet nettverk av ulike typer forskningsstøtte-enheter for å styrke satsingen på klinisk forskning. </w:t>
      </w:r>
      <w:r>
        <w:t xml:space="preserve">Mandatet til </w:t>
      </w:r>
      <w:r w:rsidRPr="009D09CE">
        <w:t xml:space="preserve">AP11 </w:t>
      </w:r>
      <w:r>
        <w:t>er å</w:t>
      </w:r>
      <w:r w:rsidRPr="009D09CE">
        <w:t xml:space="preserve"> kartlegge forskningsstøtte</w:t>
      </w:r>
      <w:r>
        <w:t>-</w:t>
      </w:r>
      <w:r w:rsidRPr="009D09CE">
        <w:t>enheter nasjonalt og i r</w:t>
      </w:r>
      <w:r>
        <w:t>elevante land utenfor Norge, herunder Norden. AP</w:t>
      </w:r>
      <w:r w:rsidRPr="009D09CE">
        <w:t xml:space="preserve">11 skal foreslå hvilke typer organisatoriske enheter </w:t>
      </w:r>
      <w:r>
        <w:t xml:space="preserve">(herunder tjenester og kapasitet) </w:t>
      </w:r>
      <w:r w:rsidRPr="009D09CE">
        <w:t xml:space="preserve">det vil være hensiktsmessig å utvikle i Norge, slik at vi </w:t>
      </w:r>
      <w:r>
        <w:t xml:space="preserve">kan samarbeide effektivt i nasjonale og </w:t>
      </w:r>
      <w:r w:rsidRPr="009D09CE">
        <w:t>internasjonal</w:t>
      </w:r>
      <w:r>
        <w:t>e</w:t>
      </w:r>
      <w:r w:rsidRPr="009D09CE">
        <w:t xml:space="preserve"> stud</w:t>
      </w:r>
      <w:r>
        <w:t>ier.</w:t>
      </w:r>
      <w:r w:rsidRPr="009D09CE">
        <w:t xml:space="preserve"> </w:t>
      </w:r>
    </w:p>
    <w:p w14:paraId="0028BD46" w14:textId="77777777" w:rsidR="002A50E8" w:rsidRDefault="002A50E8" w:rsidP="002A50E8">
      <w:r>
        <w:t xml:space="preserve">AP11 skal </w:t>
      </w:r>
      <w:r w:rsidRPr="009D09CE">
        <w:t>bygge videre på arbeidet som er gjort i NorCRIN1</w:t>
      </w:r>
      <w:r>
        <w:t>, spesielt arbeidet</w:t>
      </w:r>
      <w:r w:rsidRPr="009D09CE">
        <w:t xml:space="preserve"> med tidligfaseenheter</w:t>
      </w:r>
      <w:r>
        <w:t xml:space="preserve"> (AP7)</w:t>
      </w:r>
      <w:r w:rsidRPr="009D09CE">
        <w:t xml:space="preserve">, og annet arbeid som er gjort </w:t>
      </w:r>
      <w:r>
        <w:t xml:space="preserve">i Norge </w:t>
      </w:r>
      <w:r w:rsidRPr="009D09CE">
        <w:t xml:space="preserve">for å etablere </w:t>
      </w:r>
      <w:r>
        <w:t xml:space="preserve">eksempelvis kliniske </w:t>
      </w:r>
      <w:r w:rsidRPr="009D09CE">
        <w:t>forskningsposter</w:t>
      </w:r>
      <w:r>
        <w:t xml:space="preserve"> og</w:t>
      </w:r>
      <w:r w:rsidRPr="009D09CE">
        <w:t xml:space="preserve"> </w:t>
      </w:r>
      <w:r>
        <w:t>forskningsstøtteenheter (Clinical Trial Units (</w:t>
      </w:r>
      <w:r w:rsidRPr="009D09CE">
        <w:t>CTU</w:t>
      </w:r>
      <w:r>
        <w:t>)</w:t>
      </w:r>
      <w:r w:rsidRPr="009D09CE">
        <w:t xml:space="preserve"> og tilsvarende</w:t>
      </w:r>
      <w:r>
        <w:t>)</w:t>
      </w:r>
      <w:r w:rsidRPr="009D09CE">
        <w:t>.</w:t>
      </w:r>
    </w:p>
    <w:p w14:paraId="35F1E9B7" w14:textId="3778FC22" w:rsidR="002A50E8" w:rsidRDefault="002A50E8" w:rsidP="002A50E8">
      <w:r>
        <w:t xml:space="preserve">NorCRIN er med i den europeiske forskningsinfrastrukturen ECRIN (European Clinical Research </w:t>
      </w:r>
      <w:proofErr w:type="spellStart"/>
      <w:r>
        <w:t>Infrastructure</w:t>
      </w:r>
      <w:proofErr w:type="spellEnd"/>
      <w:r>
        <w:t xml:space="preserve"> Network), og ECRIN-studier er viktige internasjonale studier for norske miljøer. ECRIN har derfor vært en sentral kilde til informasjon når AP11 har innhentet opplysninger om hvordan «verden der ute» har organisert seg. I lys av Nasjonal Handlingsplan for kliniske studier (fra januar 2021), har Norden</w:t>
      </w:r>
      <w:r w:rsidR="00082425">
        <w:t xml:space="preserve"> blitt tillagt</w:t>
      </w:r>
      <w:r>
        <w:t xml:space="preserve"> et særskilt fokus.</w:t>
      </w:r>
    </w:p>
    <w:p w14:paraId="3EBA4159" w14:textId="77777777" w:rsidR="002A50E8" w:rsidRDefault="002A50E8" w:rsidP="002A50E8"/>
    <w:p w14:paraId="0A69BF17" w14:textId="74DA807B" w:rsidR="002A50E8" w:rsidRDefault="002A50E8" w:rsidP="007A54CA">
      <w:pPr>
        <w:pStyle w:val="Overskrift1"/>
      </w:pPr>
      <w:bookmarkStart w:id="2" w:name="_Toc175687628"/>
      <w:bookmarkStart w:id="3" w:name="_Toc193122968"/>
      <w:r>
        <w:t>Sammendrag</w:t>
      </w:r>
      <w:bookmarkEnd w:id="2"/>
      <w:r w:rsidR="000A089C">
        <w:t xml:space="preserve"> av arbeidet</w:t>
      </w:r>
      <w:bookmarkEnd w:id="3"/>
    </w:p>
    <w:p w14:paraId="15D47AF9" w14:textId="77777777" w:rsidR="002A50E8" w:rsidRDefault="002A50E8" w:rsidP="002A50E8">
      <w:r>
        <w:t>Det overordnede målet for AP11 er å bidra til å øke antallet og kvaliteten i kliniske studier i Norge, og styrke forskningssamarbeidet nasjonalt og internasjonalt.</w:t>
      </w:r>
    </w:p>
    <w:p w14:paraId="137E5CFB" w14:textId="77777777" w:rsidR="002A50E8" w:rsidRDefault="002A50E8" w:rsidP="002A50E8">
      <w:r w:rsidRPr="00B00875">
        <w:t>AP11s operative mål er å bidra til videre utvikling av ulike enheter i forskningsstøtte, uavhengig av dagens organisering/erfaring/kapasitet.</w:t>
      </w:r>
    </w:p>
    <w:p w14:paraId="71C1B756" w14:textId="6C76A6CA" w:rsidR="002A50E8" w:rsidRDefault="002A50E8" w:rsidP="002A50E8">
      <w:r>
        <w:t xml:space="preserve">AP11 har kartlagt forskningsstøtte i Norge og utlandet, i den hensikt å finne ut om det er felles standarder og «best </w:t>
      </w:r>
      <w:proofErr w:type="spellStart"/>
      <w:r>
        <w:t>practice</w:t>
      </w:r>
      <w:proofErr w:type="spellEnd"/>
      <w:r>
        <w:t xml:space="preserve">» i land det er naturlig å sammenlikne oss med, og som AP11 derfor vil anbefale implementert i Norge. Informasjonsinnhentingen har derfor </w:t>
      </w:r>
      <w:r w:rsidR="00082425">
        <w:t xml:space="preserve">hatt </w:t>
      </w:r>
      <w:proofErr w:type="gramStart"/>
      <w:r>
        <w:t>fokus</w:t>
      </w:r>
      <w:proofErr w:type="gramEnd"/>
      <w:r>
        <w:t xml:space="preserve"> på situasjonen og status pr. i dag</w:t>
      </w:r>
      <w:r w:rsidR="00361673">
        <w:t>.</w:t>
      </w:r>
      <w:r w:rsidR="00584095">
        <w:t xml:space="preserve"> Se vedlegg 3</w:t>
      </w:r>
      <w:r w:rsidR="00D4623D">
        <w:t>, delrapport</w:t>
      </w:r>
      <w:r w:rsidR="00AC74D5">
        <w:t>,</w:t>
      </w:r>
      <w:r w:rsidR="00D4623D">
        <w:t xml:space="preserve"> </w:t>
      </w:r>
      <w:r w:rsidR="00D4623D">
        <w:rPr>
          <w:rFonts w:eastAsiaTheme="minorHAnsi" w:cstheme="minorBidi"/>
          <w:color w:val="auto"/>
          <w:kern w:val="2"/>
          <w:lang w:eastAsia="en-US" w:bidi="ar-SA"/>
          <w14:ligatures w14:val="standardContextual"/>
        </w:rPr>
        <w:t>som dokumentere mye av arbeidet i AP11, og utdyper nåsituasjon og viktige utfordringer, som er basis for anbefalingene</w:t>
      </w:r>
      <w:r w:rsidR="00AC74D5">
        <w:rPr>
          <w:rFonts w:eastAsiaTheme="minorHAnsi" w:cstheme="minorBidi"/>
          <w:color w:val="auto"/>
          <w:kern w:val="2"/>
          <w:lang w:eastAsia="en-US" w:bidi="ar-SA"/>
          <w14:ligatures w14:val="standardContextual"/>
        </w:rPr>
        <w:t>.</w:t>
      </w:r>
    </w:p>
    <w:p w14:paraId="2FA35A40" w14:textId="77777777" w:rsidR="002A50E8" w:rsidRPr="00B00875" w:rsidRDefault="002A50E8" w:rsidP="002A50E8">
      <w:pPr>
        <w:rPr>
          <w:i/>
        </w:rPr>
      </w:pPr>
      <w:r>
        <w:t>AP11s leveranse/sluttprodukt, ifølge mandatet, er å lage en «</w:t>
      </w:r>
      <w:r w:rsidRPr="00B00875">
        <w:rPr>
          <w:i/>
        </w:rPr>
        <w:t>nasjonal anbefaling/standard/kompetansekrav til ulike typer tjenester, roller og enheter (f.eks. forskningsposter, forskningsstøtte-enheter og andre typer enheter) som vil være en del av infrastrukturen for klinisk forskning som bidrar til kliniske studier. Det vil også være naturlig å se på nettverksstrukturer som sikrer koordinering av og samarbeid mellom slike enheter.</w:t>
      </w:r>
    </w:p>
    <w:p w14:paraId="28CA1468" w14:textId="77777777" w:rsidR="002A50E8" w:rsidRDefault="002A50E8" w:rsidP="002A50E8">
      <w:r w:rsidRPr="00B00875">
        <w:rPr>
          <w:i/>
        </w:rPr>
        <w:lastRenderedPageBreak/>
        <w:t>Standardisering er et vesentlig mål for AP11. Standardisering sikrer forutsigbarhet og reduserer transaksjonskostnader mellom samarbeidende enheter</w:t>
      </w:r>
      <w:r>
        <w:rPr>
          <w:i/>
        </w:rPr>
        <w:t xml:space="preserve">. </w:t>
      </w:r>
      <w:r w:rsidRPr="00B00875">
        <w:rPr>
          <w:i/>
        </w:rPr>
        <w:t>Det vil bli vurdert om det skal utarbeides en formell nasjonal sertifisering/akkreditering</w:t>
      </w:r>
      <w:r>
        <w:t>»</w:t>
      </w:r>
    </w:p>
    <w:p w14:paraId="6B7D945F" w14:textId="737D1693" w:rsidR="002A50E8" w:rsidRDefault="002A50E8" w:rsidP="002A50E8">
      <w:r>
        <w:t xml:space="preserve">AP11 har i rapporten hatt hovedfokus på tjenester, men også samarbeid, finansiering, utvikling av kompetanse, kvalitet og andre forhold. </w:t>
      </w:r>
      <w:r w:rsidR="00082425">
        <w:t xml:space="preserve">Av ressursmessige grunner har arbeidet hatt hovedfokus på </w:t>
      </w:r>
      <w:r>
        <w:t>tjenester fra enheter som leverer hva vi har kalt «administrativ» forskerstøtte, dvs. enheter som gir forskerstøtte - men ikke har direkte kontakt med pasienter/studiedeltakere. I noen grad er også tjenester fra forskningsposter og FoU-enheter ute i klinikk/divisjon omtalt, og vi vil vurdere om arbeidet fremover skal gi en bredere dekning av slike enheter.</w:t>
      </w:r>
      <w:r w:rsidR="00CA381F">
        <w:t xml:space="preserve"> Et viktig poeng er at det er disse enhetenes samlede støtte til forskere og studiegrupper som er viktig. Enhetene inngår i det vi i AP11 har kalt infrastruktur for forskningsstøtte, som vist i figuren under.</w:t>
      </w:r>
    </w:p>
    <w:p w14:paraId="4EDF99D1" w14:textId="77777777" w:rsidR="001B193D" w:rsidRDefault="001B193D" w:rsidP="002A50E8"/>
    <w:p w14:paraId="724FC2D3" w14:textId="0A89B1F7" w:rsidR="00CA381F" w:rsidRDefault="00CF6943" w:rsidP="002A50E8">
      <w:r w:rsidRPr="00CF6943">
        <w:rPr>
          <w:noProof/>
        </w:rPr>
        <w:drawing>
          <wp:inline distT="0" distB="0" distL="0" distR="0" wp14:anchorId="5F7D0FE5" wp14:editId="05394E89">
            <wp:extent cx="5759450" cy="2901950"/>
            <wp:effectExtent l="0" t="0" r="0" b="0"/>
            <wp:docPr id="204053370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33705" name=""/>
                    <pic:cNvPicPr/>
                  </pic:nvPicPr>
                  <pic:blipFill>
                    <a:blip r:embed="rId9"/>
                    <a:stretch>
                      <a:fillRect/>
                    </a:stretch>
                  </pic:blipFill>
                  <pic:spPr>
                    <a:xfrm>
                      <a:off x="0" y="0"/>
                      <a:ext cx="5759450" cy="2901950"/>
                    </a:xfrm>
                    <a:prstGeom prst="rect">
                      <a:avLst/>
                    </a:prstGeom>
                  </pic:spPr>
                </pic:pic>
              </a:graphicData>
            </a:graphic>
          </wp:inline>
        </w:drawing>
      </w:r>
    </w:p>
    <w:p w14:paraId="02E35EC8" w14:textId="0BC0B1BA" w:rsidR="00CA381F" w:rsidRDefault="00CA381F" w:rsidP="00CA381F">
      <w:pPr>
        <w:rPr>
          <w:b/>
          <w:sz w:val="20"/>
        </w:rPr>
      </w:pPr>
      <w:r>
        <w:rPr>
          <w:b/>
          <w:sz w:val="20"/>
        </w:rPr>
        <w:t>Fig 1: Infrastrukturen for forskningsstøtte, som samlet skal gi nødvendig støtte til forskeren/studiegruppen</w:t>
      </w:r>
    </w:p>
    <w:p w14:paraId="2EF50141" w14:textId="77777777" w:rsidR="002F5F98" w:rsidRDefault="002F5F98" w:rsidP="00CA381F">
      <w:pPr>
        <w:rPr>
          <w:b/>
          <w:sz w:val="20"/>
        </w:rPr>
      </w:pPr>
    </w:p>
    <w:p w14:paraId="53477D06" w14:textId="162553CF" w:rsidR="00CA381F" w:rsidRDefault="000778B8" w:rsidP="007A54CA">
      <w:pPr>
        <w:pStyle w:val="Overskrift1"/>
      </w:pPr>
      <w:bookmarkStart w:id="4" w:name="_Toc193122969"/>
      <w:r>
        <w:t>Konklusjon</w:t>
      </w:r>
      <w:r w:rsidR="001B193D">
        <w:t xml:space="preserve"> og anbefalinger</w:t>
      </w:r>
      <w:bookmarkEnd w:id="4"/>
    </w:p>
    <w:p w14:paraId="3A979B99" w14:textId="2769F4DD" w:rsidR="0029311C" w:rsidRDefault="002A50E8" w:rsidP="0029311C">
      <w:r>
        <w:t xml:space="preserve">Inntrykket etter kartlegging av forskningsstøtte i Sverige, Danmark, Sveits og Tyskland, er at infrastrukturen for forskningsstøtte har utviklet seg </w:t>
      </w:r>
      <w:r w:rsidR="00082425">
        <w:t xml:space="preserve">organisk, dvs. </w:t>
      </w:r>
      <w:r>
        <w:t xml:space="preserve">ut ifra lokale </w:t>
      </w:r>
      <w:r w:rsidR="00082425">
        <w:t>behov</w:t>
      </w:r>
      <w:r>
        <w:t xml:space="preserve"> </w:t>
      </w:r>
      <w:r w:rsidR="00082425">
        <w:t xml:space="preserve">og initiativ, </w:t>
      </w:r>
      <w:r>
        <w:t xml:space="preserve">og </w:t>
      </w:r>
      <w:r w:rsidR="00082425">
        <w:t>i mindre grad ut fra overordnede/</w:t>
      </w:r>
      <w:r>
        <w:t>nasjonale føringer. Vi finner mange fellestrekk mellom landene, men en lavere grad av «standardisering» av tjenester og organisatorisk struktur, enn forventet. Det er derfor ikke noen klare standarder å vise til som grunnlag for våre anbefalinger.</w:t>
      </w:r>
      <w:r w:rsidR="0029311C">
        <w:t xml:space="preserve"> AP11 ser det derfor pr. i dag ikke som viktig å etablere noen form for nasjonal akkrediteringsordning for enheter i infrastrukturen for forskningsstøtte for å imøtekomme en forventning fra sponsorer/forskningsansvarlige for akademiske studier i utlandet. </w:t>
      </w:r>
    </w:p>
    <w:p w14:paraId="79C12C4C" w14:textId="77777777" w:rsidR="00B701C6" w:rsidRDefault="00B701C6" w:rsidP="0029311C"/>
    <w:p w14:paraId="5B902C7A" w14:textId="748843CE" w:rsidR="00CA381F" w:rsidRDefault="00CA381F" w:rsidP="00CA381F">
      <w:r>
        <w:t>Det pågår en løpende debatt om faktorer som påvirker antall kliniske studier ved norske sykehus. I</w:t>
      </w:r>
      <w:r w:rsidRPr="002A16BF">
        <w:t xml:space="preserve"> 2024 er det enighet om at klinikeres tid blir en stadig knappere ressurs. </w:t>
      </w:r>
      <w:r w:rsidRPr="00C706D2">
        <w:t>Bistand og kompetent oppfølging fra forskningsstøtte som kan spare tid og redusere administrasjon for den enkelte forsker, blir dermed en svært viktig faktor som kan bidra til at flere forskere ønsker å gjennomføre kliniske studier.</w:t>
      </w:r>
      <w:r w:rsidR="00DC4A6B" w:rsidRPr="00C706D2">
        <w:t xml:space="preserve"> I tillegg </w:t>
      </w:r>
      <w:r w:rsidR="00276D85" w:rsidRPr="00C706D2">
        <w:t xml:space="preserve">fører økt </w:t>
      </w:r>
      <w:r w:rsidR="004F73FF" w:rsidRPr="00C706D2">
        <w:t xml:space="preserve">bruk at ny teknologi og </w:t>
      </w:r>
      <w:r w:rsidR="00276D85" w:rsidRPr="00C706D2">
        <w:t>digitalisering</w:t>
      </w:r>
      <w:r w:rsidR="00276D85">
        <w:t xml:space="preserve"> </w:t>
      </w:r>
      <w:r w:rsidR="00FA0702">
        <w:t xml:space="preserve">til </w:t>
      </w:r>
      <w:r w:rsidR="006C7807">
        <w:t xml:space="preserve">økt behov for IT-kompetanse </w:t>
      </w:r>
      <w:r w:rsidR="00173E4A">
        <w:t>i forskningsstøtte</w:t>
      </w:r>
      <w:r w:rsidR="0044425B">
        <w:t>.</w:t>
      </w:r>
    </w:p>
    <w:p w14:paraId="07117B63" w14:textId="77777777" w:rsidR="002A50E8" w:rsidRDefault="002A50E8" w:rsidP="002A50E8"/>
    <w:p w14:paraId="1CEF0F4F" w14:textId="0CBDCF3D" w:rsidR="000A089C" w:rsidRDefault="004A2796" w:rsidP="00910E67">
      <w:pPr>
        <w:pStyle w:val="Overskrift2"/>
      </w:pPr>
      <w:bookmarkStart w:id="5" w:name="_Toc193122970"/>
      <w:r>
        <w:t>Sammendrag av a</w:t>
      </w:r>
      <w:r w:rsidR="000A089C">
        <w:t>nbefalinge</w:t>
      </w:r>
      <w:r w:rsidR="00E871DE">
        <w:t>ne</w:t>
      </w:r>
      <w:bookmarkEnd w:id="5"/>
    </w:p>
    <w:p w14:paraId="03579379" w14:textId="48193B78" w:rsidR="001B193D" w:rsidRPr="001B193D" w:rsidRDefault="001B193D" w:rsidP="000C585F">
      <w:r>
        <w:t xml:space="preserve">Anbefalingene er inndelt tematisk, og </w:t>
      </w:r>
      <w:r w:rsidR="00017944">
        <w:t xml:space="preserve">vi har valgt </w:t>
      </w:r>
      <w:r>
        <w:t xml:space="preserve">følgende temaer/områder: </w:t>
      </w:r>
      <w:r w:rsidR="007A54CA">
        <w:t>I</w:t>
      </w:r>
      <w:r w:rsidR="00017944">
        <w:t xml:space="preserve">nfrastruktur, </w:t>
      </w:r>
      <w:r w:rsidR="007A54CA">
        <w:t>K</w:t>
      </w:r>
      <w:r>
        <w:t xml:space="preserve">ompetanse, </w:t>
      </w:r>
      <w:r w:rsidR="007A54CA">
        <w:t>S</w:t>
      </w:r>
      <w:r w:rsidR="003E0956">
        <w:t xml:space="preserve">pare tid for kliniker/forsker, </w:t>
      </w:r>
      <w:r w:rsidR="007A54CA">
        <w:t>K</w:t>
      </w:r>
      <w:r>
        <w:t>valitet</w:t>
      </w:r>
      <w:r w:rsidR="003E0956">
        <w:t>/internkontroll</w:t>
      </w:r>
      <w:r>
        <w:t>,</w:t>
      </w:r>
      <w:r w:rsidR="003E0956">
        <w:t xml:space="preserve"> </w:t>
      </w:r>
      <w:r>
        <w:t xml:space="preserve">og </w:t>
      </w:r>
      <w:r w:rsidR="007A54CA">
        <w:t>A</w:t>
      </w:r>
      <w:r>
        <w:t>nnet.</w:t>
      </w:r>
      <w:r w:rsidR="00EA3D3C">
        <w:t xml:space="preserve"> Se vedlegg 4/5 for ytterligere detaljer.</w:t>
      </w:r>
    </w:p>
    <w:p w14:paraId="6F74EBDA" w14:textId="77777777" w:rsidR="004F64DD" w:rsidRDefault="004F64DD" w:rsidP="00910E67">
      <w:pPr>
        <w:pStyle w:val="Overskrift3"/>
      </w:pPr>
      <w:bookmarkStart w:id="6" w:name="_Toc193122971"/>
      <w:r>
        <w:t>Infrastruktur</w:t>
      </w:r>
      <w:bookmarkEnd w:id="6"/>
    </w:p>
    <w:p w14:paraId="5034F6DE" w14:textId="0AC4B908" w:rsidR="000A089C" w:rsidRDefault="004D20F1" w:rsidP="000A089C">
      <w:r w:rsidRPr="00E86AC6">
        <w:rPr>
          <w:b/>
          <w:bCs/>
        </w:rPr>
        <w:t xml:space="preserve">Samarbeid på </w:t>
      </w:r>
      <w:r>
        <w:rPr>
          <w:b/>
          <w:bCs/>
        </w:rPr>
        <w:t>t</w:t>
      </w:r>
      <w:r w:rsidRPr="00E86AC6">
        <w:rPr>
          <w:b/>
          <w:bCs/>
        </w:rPr>
        <w:t xml:space="preserve">vers av </w:t>
      </w:r>
      <w:r>
        <w:rPr>
          <w:b/>
          <w:bCs/>
        </w:rPr>
        <w:t>h</w:t>
      </w:r>
      <w:r w:rsidRPr="00E86AC6">
        <w:rPr>
          <w:b/>
          <w:bCs/>
        </w:rPr>
        <w:t xml:space="preserve">elseforetak og </w:t>
      </w:r>
      <w:r>
        <w:rPr>
          <w:b/>
          <w:bCs/>
        </w:rPr>
        <w:t>r</w:t>
      </w:r>
      <w:r w:rsidRPr="00E86AC6">
        <w:rPr>
          <w:b/>
          <w:bCs/>
        </w:rPr>
        <w:t>egioner</w:t>
      </w:r>
      <w:r w:rsidR="004F64DD">
        <w:rPr>
          <w:b/>
          <w:bCs/>
        </w:rPr>
        <w:t>:</w:t>
      </w:r>
      <w:r w:rsidR="004A2796" w:rsidRPr="00910E67">
        <w:rPr>
          <w:rFonts w:ascii="Times New Roman" w:hAnsi="Times New Roman"/>
          <w:b/>
          <w:bCs/>
        </w:rPr>
        <w:t xml:space="preserve"> </w:t>
      </w:r>
      <w:r w:rsidR="000A089C">
        <w:t xml:space="preserve">AP11 anbefaler en «stige» med 4 nivåer av tjenester og kompetanse som må være på plass, enten lokalt, regionalt eller nasjonalt, for å kunne delta i kliniske studier – med økende krav til kompetanse og erfaring. </w:t>
      </w:r>
    </w:p>
    <w:p w14:paraId="73A4009E" w14:textId="77777777" w:rsidR="008E1369" w:rsidRDefault="00BC0C61" w:rsidP="008E1369">
      <w:pPr>
        <w:keepNext/>
      </w:pPr>
      <w:r w:rsidRPr="00BC0C61">
        <w:rPr>
          <w:noProof/>
        </w:rPr>
        <w:drawing>
          <wp:inline distT="0" distB="0" distL="0" distR="0" wp14:anchorId="4697185F" wp14:editId="7537F728">
            <wp:extent cx="5709037" cy="2941955"/>
            <wp:effectExtent l="0" t="0" r="0" b="29845"/>
            <wp:docPr id="75544586" name="Diagram 1">
              <a:extLst xmlns:a="http://schemas.openxmlformats.org/drawingml/2006/main">
                <a:ext uri="{FF2B5EF4-FFF2-40B4-BE49-F238E27FC236}">
                  <a16:creationId xmlns:a16="http://schemas.microsoft.com/office/drawing/2014/main" id="{BA7EC1D6-0AB4-B620-6183-156DF73230C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8C239A6" w14:textId="3AD9BB8C" w:rsidR="00B362D3" w:rsidRPr="00825261" w:rsidRDefault="008E1369" w:rsidP="008E1369">
      <w:pPr>
        <w:pStyle w:val="Bildetekst"/>
        <w:rPr>
          <w:b/>
          <w:bCs/>
          <w:i w:val="0"/>
          <w:iCs w:val="0"/>
          <w:sz w:val="20"/>
          <w:szCs w:val="18"/>
        </w:rPr>
      </w:pPr>
      <w:r w:rsidRPr="00825261">
        <w:rPr>
          <w:b/>
          <w:bCs/>
          <w:i w:val="0"/>
          <w:iCs w:val="0"/>
          <w:sz w:val="20"/>
          <w:szCs w:val="18"/>
        </w:rPr>
        <w:t>Fig</w:t>
      </w:r>
      <w:r w:rsidR="00825261">
        <w:rPr>
          <w:b/>
          <w:bCs/>
          <w:i w:val="0"/>
          <w:iCs w:val="0"/>
          <w:sz w:val="20"/>
          <w:szCs w:val="18"/>
        </w:rPr>
        <w:t xml:space="preserve">. </w:t>
      </w:r>
      <w:r w:rsidRPr="00825261">
        <w:rPr>
          <w:b/>
          <w:bCs/>
          <w:i w:val="0"/>
          <w:iCs w:val="0"/>
          <w:sz w:val="20"/>
          <w:szCs w:val="18"/>
        </w:rPr>
        <w:t>2</w:t>
      </w:r>
      <w:r w:rsidR="00825261">
        <w:rPr>
          <w:b/>
          <w:bCs/>
          <w:i w:val="0"/>
          <w:iCs w:val="0"/>
          <w:sz w:val="20"/>
          <w:szCs w:val="18"/>
        </w:rPr>
        <w:t>:</w:t>
      </w:r>
      <w:r w:rsidRPr="00825261">
        <w:rPr>
          <w:b/>
          <w:bCs/>
          <w:i w:val="0"/>
          <w:iCs w:val="0"/>
          <w:sz w:val="20"/>
          <w:szCs w:val="18"/>
        </w:rPr>
        <w:t xml:space="preserve"> Nivåer av forsking</w:t>
      </w:r>
      <w:r w:rsidR="00825261" w:rsidRPr="00825261">
        <w:rPr>
          <w:b/>
          <w:bCs/>
          <w:i w:val="0"/>
          <w:iCs w:val="0"/>
          <w:sz w:val="20"/>
          <w:szCs w:val="18"/>
        </w:rPr>
        <w:t>s</w:t>
      </w:r>
      <w:r w:rsidRPr="00825261">
        <w:rPr>
          <w:b/>
          <w:bCs/>
          <w:i w:val="0"/>
          <w:iCs w:val="0"/>
          <w:sz w:val="20"/>
          <w:szCs w:val="18"/>
        </w:rPr>
        <w:t>støtte</w:t>
      </w:r>
    </w:p>
    <w:p w14:paraId="7919DC99" w14:textId="77777777" w:rsidR="00B362D3" w:rsidRDefault="00B362D3" w:rsidP="000A089C"/>
    <w:p w14:paraId="7B52F8DE" w14:textId="2654BE88" w:rsidR="000A089C" w:rsidRDefault="000A089C" w:rsidP="000A089C">
      <w:r>
        <w:t>Nivåer for forskningsstøtte</w:t>
      </w:r>
      <w:r w:rsidR="00EA3D3C">
        <w:t xml:space="preserve">, se også </w:t>
      </w:r>
      <w:r w:rsidR="00B362D3">
        <w:t>v</w:t>
      </w:r>
      <w:r w:rsidR="00EA3D3C">
        <w:t>edlegg 4/5</w:t>
      </w:r>
      <w:r>
        <w:t>:</w:t>
      </w:r>
    </w:p>
    <w:p w14:paraId="392246D3" w14:textId="2C4A5386" w:rsidR="000A089C" w:rsidRDefault="000A089C" w:rsidP="00910E67">
      <w:pPr>
        <w:pStyle w:val="Listeavsnitt"/>
        <w:numPr>
          <w:ilvl w:val="0"/>
          <w:numId w:val="9"/>
        </w:numPr>
      </w:pPr>
      <w:r>
        <w:t xml:space="preserve">Nivå 1: Lokale sentre som deltar i nasjonale multisenterstudier trenger grunnleggende støtte og fasiliteter, inkludert </w:t>
      </w:r>
      <w:r w:rsidR="00225354">
        <w:t xml:space="preserve">god forståelse for protokollen og gjeldende lover og regelverk, prosesser for lokal forankring hos PVO </w:t>
      </w:r>
      <w:r w:rsidR="00F865F6">
        <w:t>osv.</w:t>
      </w:r>
      <w:r w:rsidR="00225354">
        <w:t xml:space="preserve">, systemer for innhenting av </w:t>
      </w:r>
      <w:r w:rsidR="00225354">
        <w:lastRenderedPageBreak/>
        <w:t xml:space="preserve">samtykker og oppbevaring av dokumentasjon, prøvetaking og oppbevaring av prøver. </w:t>
      </w:r>
      <w:r w:rsidR="0077005E">
        <w:t>Støttepersonell dedikert til kliniske studier.</w:t>
      </w:r>
    </w:p>
    <w:p w14:paraId="7303CEF6" w14:textId="4C0105AC" w:rsidR="000A089C" w:rsidRDefault="000A089C" w:rsidP="00910E67">
      <w:pPr>
        <w:pStyle w:val="Listeavsnitt"/>
        <w:numPr>
          <w:ilvl w:val="0"/>
          <w:numId w:val="9"/>
        </w:numPr>
      </w:pPr>
      <w:r>
        <w:t>Nivå 2: Institusjoner som fungerer som sponsor for enkle kliniske studier må ha kompetanse</w:t>
      </w:r>
      <w:r w:rsidR="009067A6">
        <w:t xml:space="preserve"> og kapasitet tilsvarende nivå 1, og i tillegg kunne designe og gjennomføre studien</w:t>
      </w:r>
      <w:r>
        <w:t xml:space="preserve"> </w:t>
      </w:r>
      <w:r w:rsidR="009067A6">
        <w:t xml:space="preserve">iht. protokoll, herunder ivareta alle sponsoroppgavene. </w:t>
      </w:r>
    </w:p>
    <w:p w14:paraId="3F2CAEEF" w14:textId="77777777" w:rsidR="00E26551" w:rsidRDefault="000A089C">
      <w:pPr>
        <w:pStyle w:val="Listeavsnitt"/>
        <w:numPr>
          <w:ilvl w:val="0"/>
          <w:numId w:val="9"/>
        </w:numPr>
      </w:pPr>
      <w:r>
        <w:t xml:space="preserve">Nivå 3: </w:t>
      </w:r>
      <w:r w:rsidR="009067A6">
        <w:t>Som sponsor</w:t>
      </w:r>
      <w:r>
        <w:t xml:space="preserve"> av nasjonale multisenterstudier må institusjonen ha erfaring </w:t>
      </w:r>
      <w:r w:rsidR="009067A6">
        <w:t>på nivå 1 og 2, og ha kompetanse og kapasitet som sikrer</w:t>
      </w:r>
      <w:r>
        <w:t xml:space="preserve"> </w:t>
      </w:r>
      <w:r w:rsidR="009067A6">
        <w:t xml:space="preserve">tilstrekkelig styring av studien, herunder </w:t>
      </w:r>
      <w:r>
        <w:t xml:space="preserve">koordinering og håndtering av </w:t>
      </w:r>
      <w:r w:rsidR="009067A6">
        <w:t xml:space="preserve">nasjonale </w:t>
      </w:r>
      <w:r>
        <w:t>juridiske og regulatoriske krav for større, komplekse prosjekter.</w:t>
      </w:r>
    </w:p>
    <w:p w14:paraId="4255982A" w14:textId="3C37ABC1" w:rsidR="000A089C" w:rsidRDefault="000A089C" w:rsidP="00E26551">
      <w:pPr>
        <w:pStyle w:val="Listeavsnitt"/>
        <w:numPr>
          <w:ilvl w:val="0"/>
          <w:numId w:val="9"/>
        </w:numPr>
      </w:pPr>
      <w:r>
        <w:t xml:space="preserve">Nivå 4: </w:t>
      </w:r>
      <w:r w:rsidR="009067A6">
        <w:t xml:space="preserve">Som sponsor for </w:t>
      </w:r>
      <w:r>
        <w:t xml:space="preserve">internasjonale multisenterstudier kreves omfattende erfaring med store prosjekter, </w:t>
      </w:r>
      <w:r w:rsidR="009067A6">
        <w:t>dvs. erfaring med studier på nivå1,</w:t>
      </w:r>
      <w:r w:rsidR="00E84E58">
        <w:t xml:space="preserve"> </w:t>
      </w:r>
      <w:r w:rsidR="009067A6">
        <w:t xml:space="preserve">2 og 3, </w:t>
      </w:r>
      <w:r w:rsidR="00E84E58">
        <w:t>og kompetanse og kapasitet som sikrer tilstrekkelig styring av studien, herunder koordinering og håndtering av internasjonale juridiske og regulatoriske krav for større, komplekse prosjekter</w:t>
      </w:r>
      <w:r w:rsidR="00C706D2">
        <w:t>.</w:t>
      </w:r>
    </w:p>
    <w:p w14:paraId="2CB429A5" w14:textId="4356E4A5" w:rsidR="00525C1B" w:rsidRDefault="004A2796" w:rsidP="0029311C">
      <w:r w:rsidRPr="004A2796">
        <w:t xml:space="preserve">AP11 foreslår å utvikle forskningsstøtte-tjenester på tvers av Norge, inkludert rådgivning, økonomistyring, juridisk støtte, databehandling, og forskningsfaglig bistand. Det anbefales å styrke kompetansen innen datadeling, prosjektledelse, samt støtte til </w:t>
      </w:r>
      <w:r w:rsidR="00525C1B">
        <w:t xml:space="preserve">forskning på </w:t>
      </w:r>
      <w:r w:rsidRPr="004A2796">
        <w:t>medisinsk utstyr</w:t>
      </w:r>
      <w:r w:rsidR="00AA18F2">
        <w:t>, på tvers av helseforetak</w:t>
      </w:r>
      <w:r w:rsidR="005C2219">
        <w:t xml:space="preserve"> og regioner</w:t>
      </w:r>
      <w:r w:rsidRPr="004A2796">
        <w:t>.</w:t>
      </w:r>
      <w:r w:rsidR="00662B0A">
        <w:t xml:space="preserve"> Herunder at</w:t>
      </w:r>
      <w:r w:rsidR="002F5F98">
        <w:t>:</w:t>
      </w:r>
    </w:p>
    <w:p w14:paraId="651C1EB5" w14:textId="4BF9FA97" w:rsidR="00662B0A" w:rsidRDefault="00662B0A" w:rsidP="0029311C">
      <w:r w:rsidRPr="002F5F98">
        <w:rPr>
          <w:b/>
          <w:bCs/>
        </w:rPr>
        <w:t xml:space="preserve">Nødvendig/minimum kompetanse i hver helseregion: </w:t>
      </w:r>
      <w:r>
        <w:t>NorCRIN anbefaler som prinsipp at hver helseregion skal ha en nødvendig minimumskapasitet og kompetanse på rådgivning og operativ støtte til kliniske studier.</w:t>
      </w:r>
    </w:p>
    <w:p w14:paraId="6A53CF1F" w14:textId="4F7F9A67" w:rsidR="00662B0A" w:rsidRDefault="00662B0A" w:rsidP="0029311C">
      <w:r w:rsidRPr="002F5F98">
        <w:rPr>
          <w:b/>
          <w:bCs/>
        </w:rPr>
        <w:t>Utvikling av kjernetjenester</w:t>
      </w:r>
      <w:r>
        <w:t xml:space="preserve"> i administrativ forskningsstøtte hos partnerne og lokalt skjer i samarbeid mellom aktuelle linjeledere og AP-ledere. I første omgang AP3 Monitorering, AP8 Datahåndtering og AP9 Statistikk.</w:t>
      </w:r>
      <w:r w:rsidR="00CB187D">
        <w:t xml:space="preserve"> Herunder legges også finansiering av, og videre harmonisering av finansiering, av slike tjenester.</w:t>
      </w:r>
    </w:p>
    <w:p w14:paraId="7826B324" w14:textId="77777777" w:rsidR="00662B0A" w:rsidRDefault="00662B0A" w:rsidP="0029311C"/>
    <w:p w14:paraId="0933A373" w14:textId="7A06D577" w:rsidR="00F066EF" w:rsidRPr="00CB187D" w:rsidRDefault="00CB187D" w:rsidP="00F066EF">
      <w:r>
        <w:rPr>
          <w:b/>
          <w:bCs/>
        </w:rPr>
        <w:t xml:space="preserve">Kartlegging: </w:t>
      </w:r>
      <w:r w:rsidRPr="00CB187D">
        <w:t xml:space="preserve">Oversikten over «essensielle tjenester» kan brukes til å gjøre en kartlegging av </w:t>
      </w:r>
      <w:r w:rsidR="004A2796" w:rsidRPr="00CB187D">
        <w:t>forskningsstøtte-tjenester ved alle sykehus i Norge, og bruke kartleggingen til å se hvilke tjenester som bør utvikles lokalt og hva man bør ha regionalt eller nasjonalt.</w:t>
      </w:r>
      <w:r>
        <w:t xml:space="preserve"> Eksempelvis innenfor studier på Med</w:t>
      </w:r>
      <w:r w:rsidR="007A54CA">
        <w:t>isinsk</w:t>
      </w:r>
      <w:r>
        <w:t xml:space="preserve"> utstyr.</w:t>
      </w:r>
      <w:r w:rsidR="00F066EF" w:rsidRPr="00CB187D">
        <w:t xml:space="preserve"> </w:t>
      </w:r>
    </w:p>
    <w:p w14:paraId="28994716" w14:textId="77777777" w:rsidR="000C585F" w:rsidRDefault="000C585F" w:rsidP="00F066EF">
      <w:pPr>
        <w:rPr>
          <w:b/>
          <w:bCs/>
        </w:rPr>
      </w:pPr>
    </w:p>
    <w:p w14:paraId="0D41A80C" w14:textId="05D59839" w:rsidR="003E0956" w:rsidRDefault="003E0956" w:rsidP="00F066EF">
      <w:pPr>
        <w:rPr>
          <w:rFonts w:ascii="Aptos" w:hAnsi="Aptos"/>
        </w:rPr>
      </w:pPr>
      <w:r w:rsidRPr="002F5F98">
        <w:rPr>
          <w:rFonts w:ascii="Aptos" w:hAnsi="Aptos"/>
          <w:b/>
          <w:bCs/>
        </w:rPr>
        <w:t>Permanent faglig nettverk</w:t>
      </w:r>
      <w:r w:rsidR="00662B0A" w:rsidRPr="002F5F98">
        <w:rPr>
          <w:rFonts w:ascii="Aptos" w:hAnsi="Aptos"/>
          <w:b/>
          <w:bCs/>
        </w:rPr>
        <w:t xml:space="preserve"> med eget sekretariat:</w:t>
      </w:r>
      <w:r w:rsidR="00662B0A">
        <w:rPr>
          <w:rFonts w:ascii="Aptos" w:hAnsi="Aptos"/>
        </w:rPr>
        <w:t xml:space="preserve"> AP11 anbefaler at det også etter NorCRIN2 opprettholdes et permanent sekretariat for videreutvikling og koordinering av infrastrukturen for forskningsstøtte. Det er slike nettverk i land det er naturlig å sammenlikne seg med. Et slikt sekretariat vil koordinere nasjonal så vel som internasjonalt s</w:t>
      </w:r>
      <w:r w:rsidR="002F5F98">
        <w:rPr>
          <w:rFonts w:ascii="Aptos" w:hAnsi="Aptos"/>
        </w:rPr>
        <w:t>am</w:t>
      </w:r>
      <w:r w:rsidR="00662B0A">
        <w:rPr>
          <w:rFonts w:ascii="Aptos" w:hAnsi="Aptos"/>
        </w:rPr>
        <w:t>arbeid.</w:t>
      </w:r>
    </w:p>
    <w:p w14:paraId="40B80203" w14:textId="690CD741" w:rsidR="005C53DC" w:rsidRDefault="005C53DC" w:rsidP="0029311C"/>
    <w:p w14:paraId="7B969DD1" w14:textId="182BCEBD" w:rsidR="004F64DD" w:rsidDel="000A089C" w:rsidRDefault="004F64DD" w:rsidP="00910E67">
      <w:pPr>
        <w:pStyle w:val="Overskrift3"/>
      </w:pPr>
      <w:bookmarkStart w:id="7" w:name="_Toc193122972"/>
      <w:r>
        <w:t>Kompetanse</w:t>
      </w:r>
      <w:bookmarkEnd w:id="7"/>
    </w:p>
    <w:p w14:paraId="2C7CCA65" w14:textId="50013578" w:rsidR="005C53DC" w:rsidRPr="00E86AC6" w:rsidRDefault="005C53DC" w:rsidP="005C53DC">
      <w:pPr>
        <w:autoSpaceDE/>
        <w:autoSpaceDN/>
        <w:adjustRightInd/>
        <w:spacing w:before="100" w:beforeAutospacing="1" w:after="100" w:afterAutospacing="1"/>
        <w:rPr>
          <w:rFonts w:ascii="Aptos" w:hAnsi="Aptos"/>
        </w:rPr>
      </w:pPr>
      <w:r w:rsidRPr="00E86AC6">
        <w:rPr>
          <w:rFonts w:ascii="Aptos" w:hAnsi="Aptos"/>
          <w:b/>
          <w:bCs/>
        </w:rPr>
        <w:t>Opplæring</w:t>
      </w:r>
      <w:r w:rsidRPr="00E86AC6">
        <w:rPr>
          <w:rFonts w:ascii="Aptos" w:hAnsi="Aptos"/>
        </w:rPr>
        <w:t xml:space="preserve">: </w:t>
      </w:r>
      <w:r w:rsidR="002F041D">
        <w:rPr>
          <w:rFonts w:ascii="Aptos" w:hAnsi="Aptos"/>
        </w:rPr>
        <w:t>AP11 anbefaler</w:t>
      </w:r>
      <w:r w:rsidRPr="00E86AC6">
        <w:rPr>
          <w:rFonts w:ascii="Aptos" w:hAnsi="Aptos"/>
        </w:rPr>
        <w:t xml:space="preserve"> å tilby kurs innen prosjektledelse, forskning for klinikkledere, og forskningsstøtte for nye forskere. Dette vil bidra til å sikre at klinisk personale og ledere har nødvendig kompetanse for å forstå og støtte forskningsaktivitetene på sykehusene. AP11 </w:t>
      </w:r>
      <w:r w:rsidRPr="00E86AC6">
        <w:rPr>
          <w:rFonts w:ascii="Aptos" w:hAnsi="Aptos"/>
        </w:rPr>
        <w:lastRenderedPageBreak/>
        <w:t xml:space="preserve">foreslår at man lager nasjonale retningslinjer for hva slike kurs skal inneholde, som det er for GCP kurs. </w:t>
      </w:r>
    </w:p>
    <w:p w14:paraId="48E9492F" w14:textId="654FE1E5" w:rsidR="00A46DC8" w:rsidRDefault="00017944" w:rsidP="00A46DC8">
      <w:pPr>
        <w:autoSpaceDE/>
        <w:autoSpaceDN/>
        <w:adjustRightInd/>
        <w:spacing w:before="100" w:beforeAutospacing="1" w:after="100" w:afterAutospacing="1"/>
      </w:pPr>
      <w:r>
        <w:rPr>
          <w:b/>
          <w:bCs/>
        </w:rPr>
        <w:t>Sikkerhetsrapportering/</w:t>
      </w:r>
      <w:proofErr w:type="spellStart"/>
      <w:r w:rsidR="00A46DC8" w:rsidRPr="00A46DC8">
        <w:rPr>
          <w:b/>
          <w:bCs/>
        </w:rPr>
        <w:t>pharmacovigilance</w:t>
      </w:r>
      <w:proofErr w:type="spellEnd"/>
      <w:r w:rsidR="00A46DC8" w:rsidRPr="003A211D">
        <w:t xml:space="preserve">: </w:t>
      </w:r>
      <w:r w:rsidR="002F041D">
        <w:t xml:space="preserve">AP11 </w:t>
      </w:r>
      <w:r w:rsidR="000778B8">
        <w:t>anbefale</w:t>
      </w:r>
      <w:r w:rsidR="002F041D">
        <w:t>r</w:t>
      </w:r>
      <w:r w:rsidR="000778B8">
        <w:t xml:space="preserve"> å øke </w:t>
      </w:r>
      <w:r>
        <w:t>k</w:t>
      </w:r>
      <w:r w:rsidR="00A46DC8" w:rsidRPr="003A211D">
        <w:t>ompetanse og kapasitet innen sikkerhetsrapportering (</w:t>
      </w:r>
      <w:proofErr w:type="spellStart"/>
      <w:r w:rsidR="00A46DC8" w:rsidRPr="003A211D">
        <w:t>pharmacovigilance</w:t>
      </w:r>
      <w:proofErr w:type="spellEnd"/>
      <w:r w:rsidR="00A46DC8" w:rsidRPr="003A211D">
        <w:t>) i tråd med internasjonale forskrifter, særlig med tanke på nye krav som har oppstått siden implementeringen av CTR 536/2014.</w:t>
      </w:r>
    </w:p>
    <w:p w14:paraId="39BD8CB5" w14:textId="32DB5CFB" w:rsidR="00017944" w:rsidRDefault="00017944" w:rsidP="00A46DC8">
      <w:pPr>
        <w:autoSpaceDE/>
        <w:autoSpaceDN/>
        <w:adjustRightInd/>
        <w:spacing w:before="100" w:beforeAutospacing="1" w:after="100" w:afterAutospacing="1"/>
      </w:pPr>
      <w:r w:rsidRPr="00017944">
        <w:rPr>
          <w:b/>
          <w:bCs/>
        </w:rPr>
        <w:t>Studier på medisinsk utstyr:</w:t>
      </w:r>
      <w:r>
        <w:t xml:space="preserve"> AP11 anbefaler at flere partnere utvikler kompetanse og kapasitet for rådgivning og operativ støtte til kliniske studier med medisinsk utstyr, herunder in </w:t>
      </w:r>
      <w:proofErr w:type="spellStart"/>
      <w:r>
        <w:t>vitro</w:t>
      </w:r>
      <w:proofErr w:type="spellEnd"/>
      <w:r>
        <w:t xml:space="preserve"> diagnostisk medisinsk utstyr. Vi ser en utvikling mot flere studier på medisinsk utstyr, herunder også apper og KI-støttede verktøy.</w:t>
      </w:r>
    </w:p>
    <w:p w14:paraId="1AD4C791" w14:textId="64BC6F25" w:rsidR="0034474C" w:rsidRDefault="000F19D3" w:rsidP="00910E67">
      <w:pPr>
        <w:pStyle w:val="Overskrift3"/>
      </w:pPr>
      <w:bookmarkStart w:id="8" w:name="_Toc193122973"/>
      <w:r>
        <w:t>Spare tid for kliniker/forsker</w:t>
      </w:r>
      <w:bookmarkEnd w:id="8"/>
    </w:p>
    <w:p w14:paraId="679586AC" w14:textId="7637A5CB" w:rsidR="00172EB1" w:rsidRPr="00CE3715" w:rsidRDefault="00172EB1" w:rsidP="00A46DC8">
      <w:pPr>
        <w:autoSpaceDE/>
        <w:autoSpaceDN/>
        <w:adjustRightInd/>
        <w:spacing w:before="100" w:beforeAutospacing="1" w:after="100" w:afterAutospacing="1"/>
      </w:pPr>
      <w:r>
        <w:rPr>
          <w:b/>
          <w:bCs/>
        </w:rPr>
        <w:t xml:space="preserve">Kliniske forskningsposter: </w:t>
      </w:r>
      <w:r w:rsidRPr="00CE3715">
        <w:t>Dedikert studiepersonell, inkludert studies</w:t>
      </w:r>
      <w:r w:rsidR="00CE3715" w:rsidRPr="00CE3715">
        <w:t>ykepleier</w:t>
      </w:r>
      <w:r w:rsidRPr="00CE3715">
        <w:t xml:space="preserve">, </w:t>
      </w:r>
      <w:r w:rsidR="00CF6943" w:rsidRPr="00CE3715">
        <w:t>lege og</w:t>
      </w:r>
      <w:r w:rsidRPr="00CE3715">
        <w:t xml:space="preserve"> bioingeniør</w:t>
      </w:r>
      <w:r w:rsidR="00CE3715">
        <w:t>. AP11 anbefaler at slike tjenester/roller blir organisert i faste strukturer, og er tilgjengelige i infrastrukturen for forskningsstøtte, som vist i figur 1.</w:t>
      </w:r>
    </w:p>
    <w:p w14:paraId="538E7AA4" w14:textId="3CDCC448" w:rsidR="0034474C" w:rsidRDefault="0034474C" w:rsidP="00A46DC8">
      <w:pPr>
        <w:autoSpaceDE/>
        <w:autoSpaceDN/>
        <w:adjustRightInd/>
        <w:spacing w:before="100" w:beforeAutospacing="1" w:after="100" w:afterAutospacing="1"/>
      </w:pPr>
      <w:r w:rsidRPr="00910E67">
        <w:rPr>
          <w:b/>
          <w:bCs/>
        </w:rPr>
        <w:t>Prosjektkoordinatorer:</w:t>
      </w:r>
      <w:r>
        <w:t xml:space="preserve"> </w:t>
      </w:r>
      <w:r w:rsidR="00492F84">
        <w:t xml:space="preserve">Det anbefales at </w:t>
      </w:r>
      <w:r w:rsidR="00704459">
        <w:t>f</w:t>
      </w:r>
      <w:r w:rsidRPr="0034474C">
        <w:t>orskningsstøtte</w:t>
      </w:r>
      <w:r w:rsidR="00E11A29">
        <w:t>-</w:t>
      </w:r>
      <w:r w:rsidR="00492F84">
        <w:t xml:space="preserve">enheter </w:t>
      </w:r>
      <w:r w:rsidRPr="0034474C">
        <w:t>utvikler medarbeidere med prosjektleder- og prosjektadministrativ kompetanse, som kan avlaste utprøver med å ivareta sponsor</w:t>
      </w:r>
      <w:r w:rsidR="00CB7D53">
        <w:t>/forskningsansvarliges</w:t>
      </w:r>
      <w:r w:rsidRPr="0034474C">
        <w:t xml:space="preserve"> ansvar i kliniske studier</w:t>
      </w:r>
      <w:r w:rsidR="00E11A29">
        <w:t>. Ordningen blir</w:t>
      </w:r>
      <w:r w:rsidR="00492F84">
        <w:t xml:space="preserve"> </w:t>
      </w:r>
      <w:r w:rsidR="00E11A29">
        <w:t xml:space="preserve">finansiert av </w:t>
      </w:r>
      <w:r w:rsidR="00492F84">
        <w:t>brukerbetaling</w:t>
      </w:r>
      <w:r w:rsidR="00E11A29">
        <w:t xml:space="preserve"> eller på annet vis</w:t>
      </w:r>
      <w:r w:rsidR="00D35A67">
        <w:t>.</w:t>
      </w:r>
      <w:r w:rsidR="000F19D3">
        <w:t xml:space="preserve"> </w:t>
      </w:r>
    </w:p>
    <w:p w14:paraId="729BF526" w14:textId="624807AF" w:rsidR="0034474C" w:rsidRDefault="000F19D3" w:rsidP="00A46DC8">
      <w:pPr>
        <w:autoSpaceDE/>
        <w:autoSpaceDN/>
        <w:adjustRightInd/>
        <w:spacing w:before="100" w:beforeAutospacing="1" w:after="100" w:afterAutospacing="1"/>
      </w:pPr>
      <w:r>
        <w:rPr>
          <w:b/>
          <w:bCs/>
        </w:rPr>
        <w:t>R</w:t>
      </w:r>
      <w:r w:rsidR="0034474C" w:rsidRPr="00910E67">
        <w:rPr>
          <w:b/>
          <w:bCs/>
        </w:rPr>
        <w:t>isikoanalyse (ROS):</w:t>
      </w:r>
      <w:r w:rsidR="0034474C">
        <w:t xml:space="preserve"> </w:t>
      </w:r>
      <w:r w:rsidR="002F041D">
        <w:t xml:space="preserve">AP11 </w:t>
      </w:r>
      <w:r w:rsidR="000778B8">
        <w:t>anbefale</w:t>
      </w:r>
      <w:r w:rsidR="002F041D">
        <w:t>r</w:t>
      </w:r>
      <w:r w:rsidR="000778B8">
        <w:t xml:space="preserve"> </w:t>
      </w:r>
      <w:r w:rsidR="00EA0F96">
        <w:t xml:space="preserve">større </w:t>
      </w:r>
      <w:r w:rsidR="00EC42F9">
        <w:t>samarbeid</w:t>
      </w:r>
      <w:r w:rsidR="00EA0F96">
        <w:t xml:space="preserve"> og</w:t>
      </w:r>
      <w:r w:rsidR="00EC42F9">
        <w:t xml:space="preserve"> deling av </w:t>
      </w:r>
      <w:r w:rsidR="0015781D" w:rsidRPr="00DB0AA2">
        <w:rPr>
          <w:color w:val="auto"/>
        </w:rPr>
        <w:t xml:space="preserve">risikoanalyse (ROS) </w:t>
      </w:r>
      <w:r w:rsidR="00EC42F9">
        <w:rPr>
          <w:color w:val="auto"/>
        </w:rPr>
        <w:t>til</w:t>
      </w:r>
      <w:r w:rsidR="0015781D" w:rsidRPr="00DB0AA2">
        <w:rPr>
          <w:color w:val="auto"/>
        </w:rPr>
        <w:t xml:space="preserve"> ulike datasystemer, likeså lisens/brukerbetaling, slik at man lettere kan ta i bruk felles løsninger for datainnsamling multisenterstudier.</w:t>
      </w:r>
      <w:r w:rsidR="0015781D">
        <w:rPr>
          <w:color w:val="auto"/>
        </w:rPr>
        <w:t xml:space="preserve"> </w:t>
      </w:r>
      <w:r w:rsidR="0015781D" w:rsidRPr="00691865">
        <w:rPr>
          <w:color w:val="auto"/>
        </w:rPr>
        <w:t>Dette vil understøtte samarbeid på tvers av institusjoner</w:t>
      </w:r>
      <w:r w:rsidR="0015781D">
        <w:rPr>
          <w:color w:val="auto"/>
        </w:rPr>
        <w:t xml:space="preserve"> og regioner</w:t>
      </w:r>
      <w:r w:rsidR="0015781D" w:rsidRPr="00691865">
        <w:rPr>
          <w:color w:val="auto"/>
        </w:rPr>
        <w:t xml:space="preserve">. Det er i dag slik at tillatte systemer (på et gitt sykehus) avhenger av hvor </w:t>
      </w:r>
      <w:r w:rsidR="0015781D">
        <w:rPr>
          <w:color w:val="auto"/>
        </w:rPr>
        <w:t>behandlingsansvaret</w:t>
      </w:r>
      <w:r w:rsidR="0015781D" w:rsidRPr="00691865">
        <w:rPr>
          <w:color w:val="auto"/>
        </w:rPr>
        <w:t xml:space="preserve"> ligger (på eget sykehus eller i annen institusjon). Denne tilnærmingen, som speiler dagens lovgivning, </w:t>
      </w:r>
      <w:r w:rsidR="0015781D">
        <w:rPr>
          <w:color w:val="auto"/>
        </w:rPr>
        <w:t>oppleves å representere en flaskehals for en del kliniske studier</w:t>
      </w:r>
      <w:r>
        <w:rPr>
          <w:color w:val="auto"/>
        </w:rPr>
        <w:t>.</w:t>
      </w:r>
    </w:p>
    <w:p w14:paraId="20258614" w14:textId="3A08965E" w:rsidR="0034474C" w:rsidRDefault="004D20F1" w:rsidP="00A46DC8">
      <w:pPr>
        <w:autoSpaceDE/>
        <w:autoSpaceDN/>
        <w:adjustRightInd/>
        <w:spacing w:before="100" w:beforeAutospacing="1" w:after="100" w:afterAutospacing="1"/>
        <w:rPr>
          <w:color w:val="auto"/>
        </w:rPr>
      </w:pPr>
      <w:r>
        <w:rPr>
          <w:b/>
          <w:bCs/>
        </w:rPr>
        <w:t>F</w:t>
      </w:r>
      <w:r w:rsidR="0034474C" w:rsidRPr="00910E67">
        <w:rPr>
          <w:b/>
          <w:bCs/>
        </w:rPr>
        <w:t>easibility/forhåndskartlegging av mulig pasientgrunnlag:</w:t>
      </w:r>
      <w:r w:rsidR="0034474C">
        <w:t xml:space="preserve"> </w:t>
      </w:r>
      <w:r w:rsidR="00CF4F02">
        <w:t>AP anbefaler at d</w:t>
      </w:r>
      <w:r w:rsidR="0034474C" w:rsidRPr="0034474C">
        <w:t>et blir lov med søk på diagnosekoder og oppslag i journal for å finne pasienter som kan kontaktes for mulig deltakelse i en klinisk studie.</w:t>
      </w:r>
      <w:r w:rsidR="0034474C">
        <w:t xml:space="preserve"> </w:t>
      </w:r>
      <w:r w:rsidR="00866AA8" w:rsidRPr="00A65FB5">
        <w:rPr>
          <w:color w:val="auto"/>
        </w:rPr>
        <w:t>Høsten 2024 kom det ut et hørings</w:t>
      </w:r>
      <w:hyperlink r:id="rId15" w:history="1">
        <w:r w:rsidR="00866AA8">
          <w:rPr>
            <w:rStyle w:val="Hyperkobling"/>
          </w:rPr>
          <w:t>forslag til endringer i reglene om taushetsplikt i helsepersonelloven og pasientjournalloven mv. - regjeringen.no</w:t>
        </w:r>
      </w:hyperlink>
      <w:r w:rsidR="005445A1" w:rsidRPr="00A65FB5">
        <w:rPr>
          <w:color w:val="auto"/>
        </w:rPr>
        <w:t xml:space="preserve">, </w:t>
      </w:r>
      <w:r w:rsidR="00866AA8" w:rsidRPr="00A65FB5">
        <w:rPr>
          <w:color w:val="auto"/>
        </w:rPr>
        <w:t xml:space="preserve">som </w:t>
      </w:r>
      <w:r w:rsidR="009C5703" w:rsidRPr="00A65FB5">
        <w:rPr>
          <w:color w:val="auto"/>
        </w:rPr>
        <w:t>vil gjøre det lette</w:t>
      </w:r>
      <w:r w:rsidR="00172EB1">
        <w:rPr>
          <w:color w:val="auto"/>
        </w:rPr>
        <w:t>re</w:t>
      </w:r>
      <w:r w:rsidR="009C5703" w:rsidRPr="00A65FB5">
        <w:rPr>
          <w:color w:val="auto"/>
        </w:rPr>
        <w:t xml:space="preserve"> å </w:t>
      </w:r>
      <w:r w:rsidR="00A65FB5" w:rsidRPr="00A65FB5">
        <w:rPr>
          <w:color w:val="auto"/>
        </w:rPr>
        <w:t xml:space="preserve">identifisere et mulig pasientgrunnlag. </w:t>
      </w:r>
    </w:p>
    <w:p w14:paraId="6061C548" w14:textId="47453654" w:rsidR="004F64DD" w:rsidRPr="00587251" w:rsidRDefault="003E0956" w:rsidP="004F64DD">
      <w:pPr>
        <w:pStyle w:val="Overskrift3"/>
        <w:rPr>
          <w:rFonts w:eastAsia="Times New Roman"/>
        </w:rPr>
      </w:pPr>
      <w:bookmarkStart w:id="9" w:name="_Toc193122974"/>
      <w:r>
        <w:rPr>
          <w:rFonts w:eastAsia="Times New Roman"/>
        </w:rPr>
        <w:t>Kvalitet/internkontroll</w:t>
      </w:r>
      <w:bookmarkEnd w:id="9"/>
    </w:p>
    <w:p w14:paraId="3166329C" w14:textId="0D46F01B" w:rsidR="00755A2A" w:rsidRPr="00910E67" w:rsidRDefault="00C11AD1" w:rsidP="00910E67">
      <w:pPr>
        <w:autoSpaceDE/>
        <w:autoSpaceDN/>
        <w:adjustRightInd/>
        <w:spacing w:before="100" w:beforeAutospacing="1" w:after="100" w:afterAutospacing="1"/>
        <w:rPr>
          <w:rFonts w:ascii="Aptos" w:hAnsi="Aptos"/>
        </w:rPr>
      </w:pPr>
      <w:r w:rsidRPr="00910E67">
        <w:rPr>
          <w:b/>
          <w:bCs/>
        </w:rPr>
        <w:t>Protokoll/forskningsutvalg:</w:t>
      </w:r>
      <w:r>
        <w:t xml:space="preserve"> </w:t>
      </w:r>
      <w:r w:rsidR="002F041D">
        <w:t>AP11 anbefaler</w:t>
      </w:r>
      <w:r>
        <w:t xml:space="preserve"> </w:t>
      </w:r>
      <w:r w:rsidR="000778B8">
        <w:t>å etablere</w:t>
      </w:r>
      <w:r>
        <w:t xml:space="preserve"> protokoll/forskningsutvalg i klinikker/tilsvarende enheter, som sikrer god vitenskapelig relevans og at det er </w:t>
      </w:r>
      <w:r w:rsidR="00AC74D5">
        <w:t xml:space="preserve">tilstrekkelige </w:t>
      </w:r>
      <w:r>
        <w:t xml:space="preserve">ressurser (personell, </w:t>
      </w:r>
      <w:r w:rsidR="001B0D50">
        <w:t>tid og</w:t>
      </w:r>
      <w:r>
        <w:t xml:space="preserve"> budsjett) til den aktuelle kliniske studien</w:t>
      </w:r>
      <w:r w:rsidR="007B7816">
        <w:t>.</w:t>
      </w:r>
    </w:p>
    <w:p w14:paraId="42415702" w14:textId="788F912E" w:rsidR="00C11AD1" w:rsidRDefault="007B7816" w:rsidP="00910E67">
      <w:pPr>
        <w:autoSpaceDE/>
        <w:autoSpaceDN/>
        <w:adjustRightInd/>
        <w:spacing w:before="100" w:beforeAutospacing="1" w:after="100" w:afterAutospacing="1"/>
        <w:rPr>
          <w:rFonts w:cs="Arial"/>
          <w:color w:val="auto"/>
        </w:rPr>
      </w:pPr>
      <w:proofErr w:type="spellStart"/>
      <w:r>
        <w:rPr>
          <w:rFonts w:cs="Arial"/>
          <w:b/>
          <w:bCs/>
          <w:color w:val="auto"/>
        </w:rPr>
        <w:t>A</w:t>
      </w:r>
      <w:r w:rsidRPr="00910E67">
        <w:rPr>
          <w:rFonts w:cs="Arial"/>
          <w:b/>
          <w:bCs/>
          <w:color w:val="auto"/>
        </w:rPr>
        <w:t>udit</w:t>
      </w:r>
      <w:proofErr w:type="spellEnd"/>
      <w:r w:rsidRPr="00910E67">
        <w:rPr>
          <w:rFonts w:cs="Arial"/>
          <w:b/>
          <w:bCs/>
          <w:color w:val="auto"/>
        </w:rPr>
        <w:t>/interne inspeksjoner</w:t>
      </w:r>
      <w:r>
        <w:rPr>
          <w:rFonts w:cs="Arial"/>
          <w:b/>
          <w:bCs/>
          <w:color w:val="auto"/>
        </w:rPr>
        <w:t>:</w:t>
      </w:r>
      <w:r w:rsidRPr="006836A3">
        <w:rPr>
          <w:rFonts w:cs="Arial"/>
          <w:color w:val="auto"/>
        </w:rPr>
        <w:t xml:space="preserve"> </w:t>
      </w:r>
      <w:r w:rsidR="002F041D">
        <w:rPr>
          <w:rFonts w:cs="Arial"/>
          <w:color w:val="auto"/>
        </w:rPr>
        <w:t>A</w:t>
      </w:r>
      <w:r w:rsidR="003E0956">
        <w:rPr>
          <w:rFonts w:cs="Arial"/>
          <w:color w:val="auto"/>
        </w:rPr>
        <w:t>P</w:t>
      </w:r>
      <w:r w:rsidR="002F041D">
        <w:rPr>
          <w:rFonts w:cs="Arial"/>
          <w:color w:val="auto"/>
        </w:rPr>
        <w:t xml:space="preserve">11 anbefaler </w:t>
      </w:r>
      <w:r w:rsidR="00C11AD1" w:rsidRPr="00910E67">
        <w:rPr>
          <w:rFonts w:ascii="Aptos" w:hAnsi="Aptos"/>
        </w:rPr>
        <w:t>NorCRIN bidrar til</w:t>
      </w:r>
      <w:r w:rsidR="00C11AD1" w:rsidRPr="00910E67">
        <w:rPr>
          <w:rFonts w:cs="Arial"/>
          <w:color w:val="auto"/>
        </w:rPr>
        <w:t xml:space="preserve"> å utdanne personell (i forskningsstøtte eller i andre miljøer i </w:t>
      </w:r>
      <w:r w:rsidR="00CB7D53">
        <w:rPr>
          <w:rFonts w:cs="Arial"/>
          <w:color w:val="auto"/>
        </w:rPr>
        <w:t>HF/</w:t>
      </w:r>
      <w:r w:rsidR="00C11AD1" w:rsidRPr="00910E67">
        <w:rPr>
          <w:rFonts w:cs="Arial"/>
          <w:color w:val="auto"/>
        </w:rPr>
        <w:t xml:space="preserve">sykehus) som kan gjøre flere </w:t>
      </w:r>
      <w:proofErr w:type="spellStart"/>
      <w:r w:rsidR="00C11AD1" w:rsidRPr="00910E67">
        <w:rPr>
          <w:rFonts w:cs="Arial"/>
          <w:color w:val="auto"/>
        </w:rPr>
        <w:t>audits</w:t>
      </w:r>
      <w:proofErr w:type="spellEnd"/>
      <w:r w:rsidR="00C11AD1" w:rsidRPr="00910E67">
        <w:rPr>
          <w:rFonts w:cs="Arial"/>
          <w:color w:val="auto"/>
        </w:rPr>
        <w:t xml:space="preserve">/interne </w:t>
      </w:r>
      <w:r w:rsidR="00C11AD1" w:rsidRPr="00910E67">
        <w:rPr>
          <w:rFonts w:cs="Arial"/>
          <w:color w:val="auto"/>
        </w:rPr>
        <w:lastRenderedPageBreak/>
        <w:t>inspeksjoner i kliniske studier, spesielt studier som ikke involverer legemidler eller medisinsk utstyr, som derfor ikke har lovpålagt monitorering</w:t>
      </w:r>
      <w:r>
        <w:rPr>
          <w:rFonts w:cs="Arial"/>
          <w:color w:val="auto"/>
        </w:rPr>
        <w:t>.</w:t>
      </w:r>
    </w:p>
    <w:p w14:paraId="77F2A0E4" w14:textId="77777777" w:rsidR="00492F84" w:rsidRPr="003A211D" w:rsidRDefault="00492F84" w:rsidP="00492F84">
      <w:pPr>
        <w:pStyle w:val="Overskrift3"/>
        <w:rPr>
          <w:rFonts w:eastAsia="Times New Roman" w:cs="Times New Roman"/>
          <w:sz w:val="22"/>
          <w:szCs w:val="22"/>
        </w:rPr>
      </w:pPr>
      <w:bookmarkStart w:id="10" w:name="_Toc193122975"/>
      <w:r>
        <w:t>Annet</w:t>
      </w:r>
      <w:bookmarkEnd w:id="10"/>
    </w:p>
    <w:p w14:paraId="26EB1382" w14:textId="02554D58" w:rsidR="00D4226F" w:rsidRPr="002F5F98" w:rsidRDefault="00CB7D53" w:rsidP="00492F84">
      <w:pPr>
        <w:rPr>
          <w:rFonts w:ascii="Aptos" w:hAnsi="Aptos"/>
        </w:rPr>
      </w:pPr>
      <w:r w:rsidRPr="00B362D3">
        <w:rPr>
          <w:rFonts w:ascii="Aptos" w:hAnsi="Aptos"/>
          <w:b/>
          <w:bCs/>
        </w:rPr>
        <w:t>Legemiddel til blindede studier:</w:t>
      </w:r>
      <w:r>
        <w:rPr>
          <w:rFonts w:ascii="Aptos" w:hAnsi="Aptos"/>
        </w:rPr>
        <w:t xml:space="preserve"> </w:t>
      </w:r>
      <w:r w:rsidR="002F041D">
        <w:rPr>
          <w:rFonts w:ascii="Aptos" w:hAnsi="Aptos"/>
        </w:rPr>
        <w:t>AP11 anbefaler</w:t>
      </w:r>
      <w:r w:rsidR="00D873E4">
        <w:rPr>
          <w:rFonts w:ascii="Aptos" w:hAnsi="Aptos"/>
        </w:rPr>
        <w:t xml:space="preserve"> </w:t>
      </w:r>
      <w:r w:rsidR="000778B8">
        <w:rPr>
          <w:rFonts w:ascii="Aptos" w:hAnsi="Aptos"/>
        </w:rPr>
        <w:t>samarbeid med sykehusapotekene i Norge for</w:t>
      </w:r>
      <w:r w:rsidR="00D873E4">
        <w:rPr>
          <w:rFonts w:ascii="Aptos" w:hAnsi="Aptos"/>
        </w:rPr>
        <w:t xml:space="preserve"> </w:t>
      </w:r>
      <w:r w:rsidR="009A7AFA">
        <w:rPr>
          <w:rFonts w:cs="Arial"/>
          <w:color w:val="auto"/>
        </w:rPr>
        <w:t xml:space="preserve">å sikre </w:t>
      </w:r>
      <w:r w:rsidR="000778B8">
        <w:rPr>
          <w:rFonts w:cs="Arial"/>
          <w:color w:val="auto"/>
        </w:rPr>
        <w:t xml:space="preserve">god nok </w:t>
      </w:r>
      <w:r w:rsidR="009A7AFA">
        <w:rPr>
          <w:rFonts w:cs="Arial"/>
          <w:color w:val="auto"/>
        </w:rPr>
        <w:t xml:space="preserve">kapasitet for legemiddelproduksjon til blindede studier. </w:t>
      </w:r>
    </w:p>
    <w:p w14:paraId="36EC402A" w14:textId="60EA3BA3" w:rsidR="003E0956" w:rsidRDefault="00CB7D53" w:rsidP="00492F84">
      <w:pPr>
        <w:rPr>
          <w:rFonts w:cs="Arial"/>
          <w:color w:val="auto"/>
        </w:rPr>
      </w:pPr>
      <w:r w:rsidRPr="00B362D3">
        <w:rPr>
          <w:rFonts w:cs="Arial"/>
          <w:b/>
          <w:bCs/>
          <w:color w:val="auto"/>
        </w:rPr>
        <w:t>Kursavgift:</w:t>
      </w:r>
      <w:r>
        <w:rPr>
          <w:rFonts w:cs="Arial"/>
          <w:color w:val="auto"/>
        </w:rPr>
        <w:t xml:space="preserve"> </w:t>
      </w:r>
      <w:r w:rsidR="003E0956">
        <w:rPr>
          <w:rFonts w:cs="Arial"/>
          <w:color w:val="auto"/>
        </w:rPr>
        <w:t xml:space="preserve">AP11 anbefaler at det gjøres en nasjonal beslutning om </w:t>
      </w:r>
      <w:r>
        <w:rPr>
          <w:rFonts w:cs="Arial"/>
          <w:color w:val="auto"/>
        </w:rPr>
        <w:t xml:space="preserve">hvorvidt </w:t>
      </w:r>
      <w:r w:rsidR="003E0956">
        <w:rPr>
          <w:rFonts w:cs="Arial"/>
          <w:color w:val="auto"/>
        </w:rPr>
        <w:t>det skal bli kursavgift for flere kurs. Kurs</w:t>
      </w:r>
      <w:r>
        <w:rPr>
          <w:rFonts w:cs="Arial"/>
          <w:color w:val="auto"/>
        </w:rPr>
        <w:t xml:space="preserve"> gir verdifull kompetanse, og kurs</w:t>
      </w:r>
      <w:r w:rsidR="003E0956">
        <w:rPr>
          <w:rFonts w:cs="Arial"/>
          <w:color w:val="auto"/>
        </w:rPr>
        <w:t>avgift vil kunne gi et netto bidrag til finansiering av enhetene i forskningsstøtte.</w:t>
      </w:r>
    </w:p>
    <w:p w14:paraId="72A0594E" w14:textId="77777777" w:rsidR="003E0956" w:rsidRDefault="003E0956" w:rsidP="00492F84">
      <w:pPr>
        <w:rPr>
          <w:rFonts w:ascii="Aptos" w:hAnsi="Aptos"/>
        </w:rPr>
      </w:pPr>
    </w:p>
    <w:p w14:paraId="1A8D275C" w14:textId="37D599F8" w:rsidR="00B701C6" w:rsidRPr="00B701C6" w:rsidRDefault="00B701C6" w:rsidP="00F50AED">
      <w:pPr>
        <w:pStyle w:val="Overskrift2"/>
      </w:pPr>
      <w:bookmarkStart w:id="11" w:name="_Toc193122976"/>
      <w:r w:rsidRPr="00B701C6">
        <w:t>Videre arbeid</w:t>
      </w:r>
      <w:bookmarkEnd w:id="11"/>
    </w:p>
    <w:p w14:paraId="621E4F0B" w14:textId="77777777" w:rsidR="00C27840" w:rsidRDefault="00B701C6" w:rsidP="00492F84">
      <w:pPr>
        <w:spacing w:before="100" w:beforeAutospacing="1" w:after="100" w:afterAutospacing="1"/>
      </w:pPr>
      <w:r>
        <w:t xml:space="preserve">I lys av </w:t>
      </w:r>
      <w:r w:rsidR="003E0956">
        <w:t xml:space="preserve">at </w:t>
      </w:r>
      <w:r>
        <w:t xml:space="preserve">søknaden om NorCRIN3 ikke ble innvilget, vil alle AP i NorCRIN vurdere sine mandater. AP11 vil </w:t>
      </w:r>
      <w:r w:rsidR="000B0A26">
        <w:t xml:space="preserve">utover våren </w:t>
      </w:r>
      <w:r w:rsidR="00720383">
        <w:t xml:space="preserve">2025 </w:t>
      </w:r>
      <w:r w:rsidR="000B0A26">
        <w:t xml:space="preserve">diskutere sitt mandat, </w:t>
      </w:r>
      <w:r w:rsidR="00720383">
        <w:t xml:space="preserve">og </w:t>
      </w:r>
      <w:r w:rsidR="000B0A26">
        <w:t xml:space="preserve">vil </w:t>
      </w:r>
      <w:r w:rsidR="00D8388B">
        <w:t>diskutere</w:t>
      </w:r>
      <w:r w:rsidR="00AC2911">
        <w:t xml:space="preserve"> videre </w:t>
      </w:r>
      <w:r>
        <w:t>oppfølging og implementering av anbefalingene</w:t>
      </w:r>
      <w:r w:rsidR="00D8388B">
        <w:t>.</w:t>
      </w:r>
      <w:r>
        <w:t xml:space="preserve"> </w:t>
      </w:r>
    </w:p>
    <w:p w14:paraId="546D46EF" w14:textId="6B9E51D5" w:rsidR="00B701C6" w:rsidRDefault="00D8388B" w:rsidP="00492F84">
      <w:pPr>
        <w:spacing w:before="100" w:beforeAutospacing="1" w:after="100" w:afterAutospacing="1"/>
      </w:pPr>
      <w:r>
        <w:t>Rapporten</w:t>
      </w:r>
      <w:r w:rsidR="00C27840">
        <w:t xml:space="preserve">, nå i versjon </w:t>
      </w:r>
      <w:r>
        <w:t>3.0</w:t>
      </w:r>
      <w:r w:rsidR="00C27840">
        <w:t>,</w:t>
      </w:r>
      <w:r>
        <w:t xml:space="preserve"> vil bli oppdatert ved behov. </w:t>
      </w:r>
      <w:r w:rsidR="00B701C6">
        <w:t xml:space="preserve">Beskrivelsen av forskningsstøtte i Norge </w:t>
      </w:r>
      <w:r w:rsidR="000B0A26">
        <w:t xml:space="preserve">vil bli </w:t>
      </w:r>
      <w:r w:rsidR="002F041D">
        <w:t>revider</w:t>
      </w:r>
      <w:r w:rsidR="000B0A26">
        <w:t>t</w:t>
      </w:r>
      <w:r w:rsidR="002F041D">
        <w:t xml:space="preserve"> </w:t>
      </w:r>
      <w:r w:rsidR="000B0A26">
        <w:t xml:space="preserve">ved behov, og vi ser for oss å gjennomføre en eller flere kartlegginger av kompetanse i regional og lokal forskningsstøtte </w:t>
      </w:r>
      <w:r>
        <w:t>i samråd med NorCRIN</w:t>
      </w:r>
      <w:r w:rsidR="000B0A26">
        <w:t>.</w:t>
      </w:r>
      <w:r w:rsidR="00B701C6">
        <w:t xml:space="preserve"> </w:t>
      </w:r>
      <w:r w:rsidR="00A31501">
        <w:t xml:space="preserve">Vedlegg </w:t>
      </w:r>
      <w:r w:rsidR="00720383">
        <w:t>5</w:t>
      </w:r>
      <w:r w:rsidR="00A31501">
        <w:t xml:space="preserve"> og </w:t>
      </w:r>
      <w:r w:rsidR="00720383">
        <w:t>6</w:t>
      </w:r>
      <w:r w:rsidR="00A31501">
        <w:t xml:space="preserve">, blir sentrale dokumenter i det videre arbeidet i AP11, </w:t>
      </w:r>
      <w:r w:rsidR="00AC2911">
        <w:t>og vil også bli oppdatert ved behov. Det er laget en engelsk versjon av rapporten, se vedlegg 7.</w:t>
      </w:r>
    </w:p>
    <w:p w14:paraId="592093CD" w14:textId="1B48D2B6" w:rsidR="00D4226F" w:rsidRPr="00AB0E11" w:rsidRDefault="00B701C6" w:rsidP="00492F84">
      <w:pPr>
        <w:spacing w:before="100" w:beforeAutospacing="1" w:after="100" w:afterAutospacing="1"/>
      </w:pPr>
      <w:r>
        <w:t xml:space="preserve">Gjeldende versjoner av rapporten og underliggende dokumenter er, og vil også fremover være, tilgjengelige på NorCRINs hjemmesider.  </w:t>
      </w:r>
    </w:p>
    <w:p w14:paraId="58AFCD53" w14:textId="3488B5EB" w:rsidR="00492F84" w:rsidRPr="00B743FC" w:rsidRDefault="00D4226F" w:rsidP="00F50AED">
      <w:pPr>
        <w:pStyle w:val="Overskrift2"/>
        <w:rPr>
          <w:rFonts w:eastAsiaTheme="minorHAnsi"/>
          <w:lang w:eastAsia="en-US" w:bidi="ar-SA"/>
        </w:rPr>
      </w:pPr>
      <w:bookmarkStart w:id="12" w:name="_Toc193122977"/>
      <w:r w:rsidRPr="00B743FC">
        <w:rPr>
          <w:rFonts w:eastAsiaTheme="minorHAnsi"/>
          <w:lang w:eastAsia="en-US" w:bidi="ar-SA"/>
        </w:rPr>
        <w:t>Vedlegg</w:t>
      </w:r>
      <w:bookmarkEnd w:id="12"/>
    </w:p>
    <w:p w14:paraId="04F7CCF1" w14:textId="6DBA60D7" w:rsidR="005A122D" w:rsidRDefault="005A122D" w:rsidP="006B58FB">
      <w:pPr>
        <w:rPr>
          <w:rFonts w:eastAsiaTheme="minorHAnsi"/>
          <w:lang w:eastAsia="en-US"/>
        </w:rPr>
      </w:pPr>
      <w:bookmarkStart w:id="13" w:name="_Hlk194408638"/>
      <w:r>
        <w:rPr>
          <w:rFonts w:eastAsiaTheme="minorHAnsi"/>
          <w:lang w:eastAsia="en-US"/>
        </w:rPr>
        <w:t xml:space="preserve">Vedlegg 1: </w:t>
      </w:r>
      <w:hyperlink r:id="rId16" w:history="1">
        <w:r w:rsidR="008654E2">
          <w:rPr>
            <w:rStyle w:val="Hyperkobling"/>
            <w:rFonts w:eastAsiaTheme="minorHAnsi"/>
            <w:lang w:eastAsia="en-US"/>
          </w:rPr>
          <w:t>Kartlegging av forskningsstøtte i Norge</w:t>
        </w:r>
      </w:hyperlink>
    </w:p>
    <w:p w14:paraId="23422886" w14:textId="2F89CDE5" w:rsidR="005A122D" w:rsidRPr="00C060A7" w:rsidRDefault="005A122D" w:rsidP="00C060A7">
      <w:pPr>
        <w:rPr>
          <w:rFonts w:eastAsiaTheme="minorHAnsi"/>
        </w:rPr>
      </w:pPr>
      <w:r w:rsidRPr="00C060A7">
        <w:rPr>
          <w:rFonts w:eastAsiaTheme="minorHAnsi"/>
        </w:rPr>
        <w:t xml:space="preserve">Vedlegg 2: </w:t>
      </w:r>
      <w:hyperlink r:id="rId17" w:history="1">
        <w:r w:rsidR="008654E2">
          <w:rPr>
            <w:rStyle w:val="Hyperkobling"/>
            <w:rFonts w:eastAsiaTheme="minorHAnsi"/>
          </w:rPr>
          <w:t>Beskrivelse av forskningsstøtte i ulike land</w:t>
        </w:r>
      </w:hyperlink>
    </w:p>
    <w:p w14:paraId="386AA0AF" w14:textId="153432E9" w:rsidR="006B58FB" w:rsidRDefault="00C060A7" w:rsidP="00C060A7">
      <w:pPr>
        <w:rPr>
          <w:rFonts w:eastAsiaTheme="minorHAnsi" w:cstheme="minorBidi"/>
          <w:color w:val="auto"/>
          <w:kern w:val="2"/>
          <w:lang w:eastAsia="en-US" w:bidi="ar-SA"/>
          <w14:ligatures w14:val="standardContextual"/>
        </w:rPr>
      </w:pPr>
      <w:r>
        <w:rPr>
          <w:rFonts w:eastAsiaTheme="minorHAnsi"/>
          <w:lang w:eastAsia="en-US"/>
        </w:rPr>
        <w:t xml:space="preserve">Vedlegg 3: </w:t>
      </w:r>
      <w:hyperlink r:id="rId18" w:history="1">
        <w:r w:rsidRPr="00C97C29">
          <w:rPr>
            <w:rStyle w:val="Hyperkobling"/>
            <w:rFonts w:eastAsiaTheme="minorHAnsi"/>
            <w:lang w:eastAsia="en-US"/>
          </w:rPr>
          <w:t>Delrapport V2.5</w:t>
        </w:r>
        <w:r w:rsidR="006A606A" w:rsidRPr="00C97C29">
          <w:rPr>
            <w:rStyle w:val="Hyperkobling"/>
            <w:rFonts w:eastAsiaTheme="minorHAnsi"/>
            <w:lang w:eastAsia="en-US"/>
          </w:rPr>
          <w:t>,</w:t>
        </w:r>
        <w:r w:rsidRPr="00C97C29">
          <w:rPr>
            <w:rStyle w:val="Hyperkobling"/>
            <w:rFonts w:eastAsiaTheme="minorHAnsi"/>
            <w:lang w:eastAsia="en-US"/>
          </w:rPr>
          <w:t xml:space="preserve"> som dokumentere</w:t>
        </w:r>
        <w:r w:rsidR="00CE3715" w:rsidRPr="00C97C29">
          <w:rPr>
            <w:rStyle w:val="Hyperkobling"/>
            <w:rFonts w:eastAsiaTheme="minorHAnsi"/>
            <w:lang w:eastAsia="en-US"/>
          </w:rPr>
          <w:t>r</w:t>
        </w:r>
        <w:r w:rsidRPr="00C97C29">
          <w:rPr>
            <w:rStyle w:val="Hyperkobling"/>
            <w:rFonts w:eastAsiaTheme="minorHAnsi"/>
            <w:lang w:eastAsia="en-US"/>
          </w:rPr>
          <w:t xml:space="preserve"> mye av arbeidet i AP11</w:t>
        </w:r>
      </w:hyperlink>
      <w:r>
        <w:rPr>
          <w:rFonts w:eastAsiaTheme="minorHAnsi"/>
          <w:lang w:eastAsia="en-US"/>
        </w:rPr>
        <w:t>, og utdyper nåsituasjon</w:t>
      </w:r>
      <w:r w:rsidR="005F7E9D" w:rsidRPr="005F7E9D">
        <w:rPr>
          <w:rFonts w:eastAsiaTheme="minorHAnsi" w:cstheme="minorBidi"/>
          <w:color w:val="auto"/>
          <w:kern w:val="2"/>
          <w:lang w:eastAsia="en-US" w:bidi="ar-SA"/>
          <w14:ligatures w14:val="standardContextual"/>
        </w:rPr>
        <w:t xml:space="preserve"> </w:t>
      </w:r>
      <w:r w:rsidR="005F7E9D">
        <w:rPr>
          <w:rFonts w:eastAsiaTheme="minorHAnsi" w:cstheme="minorBidi"/>
          <w:color w:val="auto"/>
          <w:kern w:val="2"/>
          <w:lang w:eastAsia="en-US" w:bidi="ar-SA"/>
          <w14:ligatures w14:val="standardContextual"/>
        </w:rPr>
        <w:t>og viktige utfordringer, som er basis for anbefalingene.</w:t>
      </w:r>
    </w:p>
    <w:p w14:paraId="62765F46" w14:textId="3A021442" w:rsidR="00720383" w:rsidRDefault="00720383" w:rsidP="00C060A7">
      <w:pPr>
        <w:rPr>
          <w:rFonts w:eastAsiaTheme="minorHAnsi"/>
          <w:lang w:eastAsia="en-US"/>
        </w:rPr>
      </w:pPr>
      <w:r>
        <w:rPr>
          <w:rFonts w:eastAsiaTheme="minorHAnsi" w:cstheme="minorBidi"/>
          <w:color w:val="auto"/>
          <w:kern w:val="2"/>
          <w:lang w:eastAsia="en-US" w:bidi="ar-SA"/>
          <w14:ligatures w14:val="standardContextual"/>
        </w:rPr>
        <w:t>Vedlegg 4:</w:t>
      </w:r>
      <w:hyperlink r:id="rId19" w:history="1">
        <w:r w:rsidRPr="00D55433">
          <w:rPr>
            <w:rStyle w:val="Hyperkobling"/>
            <w:rFonts w:eastAsiaTheme="minorHAnsi" w:cstheme="minorBidi"/>
            <w:kern w:val="2"/>
            <w:lang w:eastAsia="en-US" w:bidi="ar-SA"/>
            <w14:ligatures w14:val="standardContextual"/>
          </w:rPr>
          <w:t xml:space="preserve"> Oppsummering fra kartlegging utenfor Norge</w:t>
        </w:r>
      </w:hyperlink>
    </w:p>
    <w:p w14:paraId="42E77B7C" w14:textId="1EFC5B56" w:rsidR="00D4226F" w:rsidRDefault="005A122D" w:rsidP="00C060A7">
      <w:pPr>
        <w:rPr>
          <w:rFonts w:eastAsiaTheme="minorHAnsi"/>
          <w:lang w:eastAsia="en-US"/>
        </w:rPr>
      </w:pPr>
      <w:r>
        <w:rPr>
          <w:rFonts w:eastAsiaTheme="minorHAnsi"/>
          <w:lang w:eastAsia="en-US"/>
        </w:rPr>
        <w:t xml:space="preserve">Vedlegg </w:t>
      </w:r>
      <w:r w:rsidR="00720383">
        <w:rPr>
          <w:rFonts w:eastAsiaTheme="minorHAnsi"/>
          <w:lang w:eastAsia="en-US"/>
        </w:rPr>
        <w:t>5</w:t>
      </w:r>
      <w:r>
        <w:rPr>
          <w:rFonts w:eastAsiaTheme="minorHAnsi"/>
          <w:lang w:eastAsia="en-US"/>
        </w:rPr>
        <w:t xml:space="preserve">: </w:t>
      </w:r>
      <w:hyperlink r:id="rId20" w:history="1">
        <w:r w:rsidR="00D4226F" w:rsidRPr="006B4BB4">
          <w:rPr>
            <w:rStyle w:val="Hyperkobling"/>
            <w:rFonts w:eastAsiaTheme="minorHAnsi"/>
            <w:lang w:eastAsia="en-US"/>
          </w:rPr>
          <w:t>Excel med essensielle tjenester.</w:t>
        </w:r>
      </w:hyperlink>
      <w:r w:rsidR="00D4226F">
        <w:rPr>
          <w:rFonts w:eastAsiaTheme="minorHAnsi"/>
          <w:lang w:eastAsia="en-US"/>
        </w:rPr>
        <w:t xml:space="preserve"> Denne vil bli videreutviklet og brukt i ulike kartlegginger og som støtteverktøy for utvikling av forskningsstøtte lokalt og regionalt.</w:t>
      </w:r>
    </w:p>
    <w:p w14:paraId="559666D7" w14:textId="3F342269" w:rsidR="00D4226F" w:rsidRDefault="005A122D" w:rsidP="00C060A7">
      <w:pPr>
        <w:rPr>
          <w:rFonts w:eastAsiaTheme="minorHAnsi"/>
          <w:lang w:eastAsia="en-US"/>
        </w:rPr>
      </w:pPr>
      <w:r>
        <w:rPr>
          <w:rFonts w:eastAsiaTheme="minorHAnsi"/>
          <w:lang w:eastAsia="en-US"/>
        </w:rPr>
        <w:t xml:space="preserve">Vedlegg </w:t>
      </w:r>
      <w:r w:rsidR="00720383">
        <w:rPr>
          <w:rFonts w:eastAsiaTheme="minorHAnsi"/>
          <w:lang w:eastAsia="en-US"/>
        </w:rPr>
        <w:t>6</w:t>
      </w:r>
      <w:r>
        <w:rPr>
          <w:rFonts w:eastAsiaTheme="minorHAnsi"/>
          <w:lang w:eastAsia="en-US"/>
        </w:rPr>
        <w:t xml:space="preserve">: </w:t>
      </w:r>
      <w:hyperlink r:id="rId21" w:history="1">
        <w:r w:rsidR="00D4226F" w:rsidRPr="00D55433">
          <w:rPr>
            <w:rStyle w:val="Hyperkobling"/>
            <w:rFonts w:eastAsiaTheme="minorHAnsi"/>
            <w:lang w:eastAsia="en-US"/>
          </w:rPr>
          <w:t>Excel med anbefalingene. Denne vil bli utviklet og oppdatert i tråd med vider</w:t>
        </w:r>
        <w:r w:rsidR="00B701C6" w:rsidRPr="00D55433">
          <w:rPr>
            <w:rStyle w:val="Hyperkobling"/>
            <w:rFonts w:eastAsiaTheme="minorHAnsi"/>
            <w:lang w:eastAsia="en-US"/>
          </w:rPr>
          <w:t>e</w:t>
        </w:r>
        <w:r w:rsidR="00D4226F" w:rsidRPr="00D55433">
          <w:rPr>
            <w:rStyle w:val="Hyperkobling"/>
            <w:rFonts w:eastAsiaTheme="minorHAnsi"/>
            <w:lang w:eastAsia="en-US"/>
          </w:rPr>
          <w:t xml:space="preserve"> </w:t>
        </w:r>
        <w:r w:rsidR="00CE3715" w:rsidRPr="00D55433">
          <w:rPr>
            <w:rStyle w:val="Hyperkobling"/>
            <w:rFonts w:eastAsiaTheme="minorHAnsi"/>
            <w:lang w:eastAsia="en-US"/>
          </w:rPr>
          <w:t>arbeid med</w:t>
        </w:r>
        <w:r w:rsidR="00D4226F" w:rsidRPr="00D55433">
          <w:rPr>
            <w:rStyle w:val="Hyperkobling"/>
            <w:rFonts w:eastAsiaTheme="minorHAnsi"/>
            <w:lang w:eastAsia="en-US"/>
          </w:rPr>
          <w:t xml:space="preserve"> anbefalingene</w:t>
        </w:r>
      </w:hyperlink>
      <w:r w:rsidR="00D4226F">
        <w:rPr>
          <w:rFonts w:eastAsiaTheme="minorHAnsi"/>
          <w:lang w:eastAsia="en-US"/>
        </w:rPr>
        <w:t>.</w:t>
      </w:r>
    </w:p>
    <w:p w14:paraId="007A4438" w14:textId="139913EA" w:rsidR="00720383" w:rsidRDefault="00720383" w:rsidP="00C060A7">
      <w:pPr>
        <w:rPr>
          <w:rFonts w:eastAsiaTheme="minorHAnsi"/>
          <w:lang w:eastAsia="en-US"/>
        </w:rPr>
      </w:pPr>
      <w:r>
        <w:rPr>
          <w:rFonts w:eastAsiaTheme="minorHAnsi"/>
          <w:lang w:eastAsia="en-US"/>
        </w:rPr>
        <w:t>Vedlegg 7: Engelsk versjon av Rapporten V3.0</w:t>
      </w:r>
      <w:r w:rsidR="00D55433">
        <w:rPr>
          <w:rFonts w:eastAsiaTheme="minorHAnsi"/>
          <w:lang w:eastAsia="en-US"/>
        </w:rPr>
        <w:t xml:space="preserve"> (ikke lagt ut pr 2apr25)</w:t>
      </w:r>
    </w:p>
    <w:bookmarkEnd w:id="13"/>
    <w:p w14:paraId="157DB72B" w14:textId="70AC6690" w:rsidR="00B743FC" w:rsidRDefault="00B743FC">
      <w:pPr>
        <w:autoSpaceDE/>
        <w:autoSpaceDN/>
        <w:adjustRightInd/>
        <w:spacing w:after="160" w:line="259" w:lineRule="auto"/>
        <w:rPr>
          <w:rFonts w:eastAsiaTheme="minorHAnsi" w:cstheme="minorBidi"/>
          <w:color w:val="auto"/>
          <w:kern w:val="2"/>
          <w:lang w:eastAsia="en-US" w:bidi="ar-SA"/>
          <w14:ligatures w14:val="standardContextual"/>
        </w:rPr>
      </w:pPr>
    </w:p>
    <w:p w14:paraId="194A1389" w14:textId="77777777" w:rsidR="00D4226F" w:rsidRDefault="00D4226F">
      <w:pPr>
        <w:autoSpaceDE/>
        <w:autoSpaceDN/>
        <w:adjustRightInd/>
        <w:spacing w:after="160" w:line="259" w:lineRule="auto"/>
        <w:rPr>
          <w:rFonts w:eastAsiaTheme="minorHAnsi" w:cstheme="minorBidi"/>
          <w:color w:val="auto"/>
          <w:kern w:val="2"/>
          <w:lang w:eastAsia="en-US" w:bidi="ar-SA"/>
          <w14:ligatures w14:val="standardContextual"/>
        </w:rPr>
      </w:pPr>
    </w:p>
    <w:sectPr w:rsidR="00D4226F" w:rsidSect="000C585F">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8903" w14:textId="77777777" w:rsidR="00FD12C6" w:rsidRDefault="00FD12C6">
      <w:pPr>
        <w:spacing w:after="0"/>
      </w:pPr>
    </w:p>
  </w:endnote>
  <w:endnote w:type="continuationSeparator" w:id="0">
    <w:p w14:paraId="1A273517" w14:textId="77777777" w:rsidR="00FD12C6" w:rsidRDefault="00FD1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19214"/>
      <w:docPartObj>
        <w:docPartGallery w:val="Page Numbers (Bottom of Page)"/>
        <w:docPartUnique/>
      </w:docPartObj>
    </w:sdtPr>
    <w:sdtContent>
      <w:p w14:paraId="3821910D" w14:textId="0DEBB245" w:rsidR="00BD688A" w:rsidRDefault="009922FA" w:rsidP="000C585F">
        <w:pPr>
          <w:pStyle w:val="Bunn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BC4B" w14:textId="77777777" w:rsidR="00FD12C6" w:rsidRDefault="00FD12C6">
      <w:pPr>
        <w:spacing w:after="0"/>
      </w:pPr>
    </w:p>
  </w:footnote>
  <w:footnote w:type="continuationSeparator" w:id="0">
    <w:p w14:paraId="5E21BDB8" w14:textId="77777777" w:rsidR="00FD12C6" w:rsidRDefault="00FD1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9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970"/>
      <w:gridCol w:w="1276"/>
      <w:gridCol w:w="1984"/>
      <w:gridCol w:w="3686"/>
    </w:tblGrid>
    <w:tr w:rsidR="00EB2E15" w:rsidRPr="001F1A91" w14:paraId="5FA4334B" w14:textId="77777777" w:rsidTr="001D16C9">
      <w:trPr>
        <w:trHeight w:val="1316"/>
      </w:trPr>
      <w:tc>
        <w:tcPr>
          <w:tcW w:w="7230" w:type="dxa"/>
          <w:gridSpan w:val="3"/>
          <w:tcBorders>
            <w:top w:val="single" w:sz="4" w:space="0" w:color="auto"/>
            <w:bottom w:val="single" w:sz="4" w:space="0" w:color="auto"/>
          </w:tcBorders>
        </w:tcPr>
        <w:p w14:paraId="4899A292" w14:textId="77777777" w:rsidR="00EB2E15" w:rsidRPr="001F1A91" w:rsidRDefault="00EB2E15" w:rsidP="00EB2E15">
          <w:pPr>
            <w:tabs>
              <w:tab w:val="left" w:pos="7608"/>
            </w:tabs>
            <w:rPr>
              <w:rFonts w:eastAsia="MS Mincho"/>
              <w:lang w:eastAsia="en-US" w:bidi="ar-SA"/>
            </w:rPr>
          </w:pPr>
          <w:r w:rsidRPr="001F1A91">
            <w:rPr>
              <w:rFonts w:eastAsia="MS Mincho"/>
              <w:noProof/>
              <w:lang w:bidi="ar-SA"/>
            </w:rPr>
            <w:drawing>
              <wp:inline distT="0" distB="0" distL="0" distR="0" wp14:anchorId="58A99CA8" wp14:editId="7DEBAFCB">
                <wp:extent cx="2089150" cy="781050"/>
                <wp:effectExtent l="0" t="0" r="6350" b="0"/>
                <wp:docPr id="1875882705" name="Bilde 1875882705" descr="NorCR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RI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781050"/>
                        </a:xfrm>
                        <a:prstGeom prst="rect">
                          <a:avLst/>
                        </a:prstGeom>
                        <a:noFill/>
                        <a:ln>
                          <a:noFill/>
                        </a:ln>
                      </pic:spPr>
                    </pic:pic>
                  </a:graphicData>
                </a:graphic>
              </wp:inline>
            </w:drawing>
          </w:r>
        </w:p>
      </w:tc>
      <w:tc>
        <w:tcPr>
          <w:tcW w:w="3686" w:type="dxa"/>
          <w:tcBorders>
            <w:top w:val="single" w:sz="4" w:space="0" w:color="auto"/>
            <w:left w:val="nil"/>
            <w:bottom w:val="single" w:sz="4" w:space="0" w:color="auto"/>
            <w:right w:val="single" w:sz="4" w:space="0" w:color="auto"/>
          </w:tcBorders>
        </w:tcPr>
        <w:p w14:paraId="48FE9793" w14:textId="77777777" w:rsidR="00EB2E15" w:rsidRPr="001F1A91" w:rsidRDefault="00EB2E15" w:rsidP="00EB2E15">
          <w:pPr>
            <w:rPr>
              <w:rFonts w:eastAsia="MS Mincho"/>
              <w:lang w:eastAsia="en-US" w:bidi="ar-SA"/>
            </w:rPr>
          </w:pPr>
        </w:p>
        <w:p w14:paraId="6A09C8C1" w14:textId="77777777" w:rsidR="00EB2E15" w:rsidRPr="001F1A91" w:rsidRDefault="00EB2E15" w:rsidP="00EB2E15">
          <w:pPr>
            <w:jc w:val="center"/>
            <w:rPr>
              <w:rFonts w:eastAsia="MS Mincho"/>
              <w:lang w:eastAsia="en-US" w:bidi="ar-SA"/>
            </w:rPr>
          </w:pPr>
          <w:r w:rsidRPr="001F1A91">
            <w:rPr>
              <w:rFonts w:eastAsia="MS Mincho"/>
              <w:lang w:eastAsia="en-US" w:bidi="ar-SA"/>
            </w:rPr>
            <w:t>Side:</w:t>
          </w:r>
        </w:p>
        <w:p w14:paraId="1467729A" w14:textId="77777777" w:rsidR="00EB2E15" w:rsidRPr="001F1A91" w:rsidRDefault="00EB2E15" w:rsidP="00EB2E15">
          <w:pPr>
            <w:jc w:val="center"/>
            <w:rPr>
              <w:rFonts w:eastAsia="MS Mincho"/>
              <w:lang w:eastAsia="en-US" w:bidi="ar-SA"/>
            </w:rPr>
          </w:pPr>
          <w:r w:rsidRPr="001F1A91">
            <w:rPr>
              <w:rFonts w:eastAsia="MS Mincho"/>
              <w:lang w:eastAsia="en-US" w:bidi="ar-SA"/>
            </w:rPr>
            <w:fldChar w:fldCharType="begin"/>
          </w:r>
          <w:r w:rsidRPr="001F1A91">
            <w:rPr>
              <w:rFonts w:eastAsia="MS Mincho"/>
              <w:lang w:eastAsia="en-US" w:bidi="ar-SA"/>
            </w:rPr>
            <w:instrText xml:space="preserve"> PAGE </w:instrText>
          </w:r>
          <w:r w:rsidRPr="001F1A91">
            <w:rPr>
              <w:rFonts w:eastAsia="MS Mincho"/>
              <w:lang w:eastAsia="en-US" w:bidi="ar-SA"/>
            </w:rPr>
            <w:fldChar w:fldCharType="separate"/>
          </w:r>
          <w:r>
            <w:rPr>
              <w:rFonts w:eastAsia="MS Mincho"/>
              <w:noProof/>
              <w:lang w:eastAsia="en-US" w:bidi="ar-SA"/>
            </w:rPr>
            <w:t>1</w:t>
          </w:r>
          <w:r w:rsidRPr="001F1A91">
            <w:rPr>
              <w:rFonts w:eastAsia="MS Mincho"/>
              <w:lang w:eastAsia="en-US" w:bidi="ar-SA"/>
            </w:rPr>
            <w:fldChar w:fldCharType="end"/>
          </w:r>
        </w:p>
      </w:tc>
    </w:tr>
    <w:tr w:rsidR="00EB2E15" w:rsidRPr="001F1A91" w14:paraId="1F09DE80" w14:textId="77777777" w:rsidTr="00B12ED7">
      <w:trPr>
        <w:trHeight w:val="853"/>
      </w:trPr>
      <w:tc>
        <w:tcPr>
          <w:tcW w:w="3970" w:type="dxa"/>
          <w:tcBorders>
            <w:top w:val="single" w:sz="4" w:space="0" w:color="auto"/>
          </w:tcBorders>
        </w:tcPr>
        <w:p w14:paraId="3950AAAC" w14:textId="77777777" w:rsidR="00EB2E15" w:rsidRPr="001F1A91" w:rsidRDefault="00EB2E15" w:rsidP="00EB2E15">
          <w:pPr>
            <w:rPr>
              <w:rFonts w:eastAsia="MS Mincho"/>
              <w:lang w:eastAsia="en-US" w:bidi="ar-SA"/>
            </w:rPr>
          </w:pPr>
          <w:r w:rsidRPr="001F1A91">
            <w:rPr>
              <w:rFonts w:eastAsia="MS Mincho"/>
              <w:lang w:eastAsia="en-US" w:bidi="ar-SA"/>
            </w:rPr>
            <w:t>NorCRIN arbeidspakke 11</w:t>
          </w:r>
        </w:p>
        <w:p w14:paraId="66B06DEF" w14:textId="77777777" w:rsidR="00EB2E15" w:rsidRPr="001F1A91" w:rsidRDefault="00EB2E15" w:rsidP="00EB2E15">
          <w:pPr>
            <w:rPr>
              <w:rFonts w:eastAsia="MS Mincho"/>
              <w:lang w:eastAsia="en-US" w:bidi="ar-SA"/>
            </w:rPr>
          </w:pPr>
          <w:r w:rsidRPr="001F1A91">
            <w:rPr>
              <w:rFonts w:eastAsia="MS Mincho"/>
              <w:lang w:eastAsia="en-US" w:bidi="ar-SA"/>
            </w:rPr>
            <w:t>Org enheter til støtte for kliniske studier</w:t>
          </w:r>
        </w:p>
      </w:tc>
      <w:tc>
        <w:tcPr>
          <w:tcW w:w="1276" w:type="dxa"/>
          <w:tcBorders>
            <w:top w:val="single" w:sz="4" w:space="0" w:color="auto"/>
          </w:tcBorders>
        </w:tcPr>
        <w:p w14:paraId="197667C8" w14:textId="77777777" w:rsidR="00EB2E15" w:rsidRPr="001F1A91" w:rsidRDefault="00EB2E15" w:rsidP="00EB2E15">
          <w:pPr>
            <w:rPr>
              <w:rFonts w:eastAsia="MS Mincho"/>
              <w:lang w:eastAsia="en-US" w:bidi="ar-SA"/>
            </w:rPr>
          </w:pPr>
          <w:r w:rsidRPr="001F1A91">
            <w:rPr>
              <w:rFonts w:eastAsia="MS Mincho"/>
              <w:lang w:eastAsia="en-US" w:bidi="ar-SA"/>
            </w:rPr>
            <w:t xml:space="preserve">Dato: </w:t>
          </w:r>
        </w:p>
        <w:p w14:paraId="6E782418" w14:textId="78B07813" w:rsidR="00EB2E15" w:rsidRPr="001F1A91" w:rsidRDefault="00720383" w:rsidP="00EB2E15">
          <w:pPr>
            <w:rPr>
              <w:rFonts w:eastAsia="MS Mincho"/>
              <w:lang w:eastAsia="en-US" w:bidi="ar-SA"/>
            </w:rPr>
          </w:pPr>
          <w:r>
            <w:rPr>
              <w:rFonts w:eastAsia="MS Mincho"/>
              <w:lang w:eastAsia="en-US" w:bidi="ar-SA"/>
            </w:rPr>
            <w:t>April</w:t>
          </w:r>
          <w:r w:rsidR="00EB2E15">
            <w:rPr>
              <w:rFonts w:eastAsia="MS Mincho"/>
              <w:lang w:eastAsia="en-US" w:bidi="ar-SA"/>
            </w:rPr>
            <w:t xml:space="preserve"> 202</w:t>
          </w:r>
          <w:r w:rsidR="003978E6">
            <w:rPr>
              <w:rFonts w:eastAsia="MS Mincho"/>
              <w:lang w:eastAsia="en-US" w:bidi="ar-SA"/>
            </w:rPr>
            <w:t>5</w:t>
          </w:r>
        </w:p>
      </w:tc>
      <w:tc>
        <w:tcPr>
          <w:tcW w:w="1984" w:type="dxa"/>
          <w:tcBorders>
            <w:top w:val="single" w:sz="4" w:space="0" w:color="auto"/>
          </w:tcBorders>
        </w:tcPr>
        <w:p w14:paraId="120D8EA7" w14:textId="77777777" w:rsidR="00EB2E15" w:rsidRDefault="00EB2E15" w:rsidP="00EB2E15">
          <w:pPr>
            <w:rPr>
              <w:rFonts w:eastAsia="MS Mincho"/>
              <w:lang w:eastAsia="en-US" w:bidi="ar-SA"/>
            </w:rPr>
          </w:pPr>
          <w:r>
            <w:rPr>
              <w:rFonts w:eastAsia="MS Mincho"/>
              <w:lang w:eastAsia="en-US" w:bidi="ar-SA"/>
            </w:rPr>
            <w:t>Versjon:</w:t>
          </w:r>
        </w:p>
        <w:p w14:paraId="2D265FBB" w14:textId="2324C6B6" w:rsidR="00EB2E15" w:rsidRPr="001F1A91" w:rsidRDefault="005B6FB5" w:rsidP="00EB2E15">
          <w:pPr>
            <w:rPr>
              <w:rFonts w:eastAsia="MS Mincho"/>
              <w:lang w:eastAsia="en-US" w:bidi="ar-SA"/>
            </w:rPr>
          </w:pPr>
          <w:r>
            <w:rPr>
              <w:rFonts w:eastAsia="MS Mincho"/>
              <w:lang w:eastAsia="en-US" w:bidi="ar-SA"/>
            </w:rPr>
            <w:t xml:space="preserve">Rapport </w:t>
          </w:r>
          <w:r w:rsidR="003978E6">
            <w:rPr>
              <w:rFonts w:eastAsia="MS Mincho"/>
              <w:lang w:eastAsia="en-US" w:bidi="ar-SA"/>
            </w:rPr>
            <w:t>V</w:t>
          </w:r>
          <w:r w:rsidR="00BD688A">
            <w:rPr>
              <w:rFonts w:eastAsia="MS Mincho"/>
              <w:lang w:eastAsia="en-US" w:bidi="ar-SA"/>
            </w:rPr>
            <w:t>3.0</w:t>
          </w:r>
        </w:p>
      </w:tc>
      <w:tc>
        <w:tcPr>
          <w:tcW w:w="3686" w:type="dxa"/>
          <w:tcBorders>
            <w:top w:val="single" w:sz="4" w:space="0" w:color="auto"/>
            <w:bottom w:val="single" w:sz="4" w:space="0" w:color="auto"/>
            <w:right w:val="single" w:sz="4" w:space="0" w:color="auto"/>
          </w:tcBorders>
        </w:tcPr>
        <w:p w14:paraId="34335237" w14:textId="77777777" w:rsidR="00EB2E15" w:rsidRPr="001F1A91" w:rsidRDefault="00EB2E15" w:rsidP="00EB2E15">
          <w:pPr>
            <w:rPr>
              <w:rFonts w:eastAsia="MS Mincho"/>
              <w:lang w:eastAsia="en-US" w:bidi="ar-SA"/>
            </w:rPr>
          </w:pPr>
          <w:r w:rsidRPr="001F1A91">
            <w:rPr>
              <w:rFonts w:eastAsia="MS Mincho"/>
              <w:lang w:eastAsia="en-US" w:bidi="ar-SA"/>
            </w:rPr>
            <w:t xml:space="preserve">Kostnadssted: </w:t>
          </w:r>
        </w:p>
        <w:p w14:paraId="2FE5D42F" w14:textId="77777777" w:rsidR="00EB2E15" w:rsidRPr="001F1A91" w:rsidRDefault="00EB2E15" w:rsidP="00EB2E15">
          <w:pPr>
            <w:rPr>
              <w:rFonts w:eastAsia="MS Mincho"/>
              <w:lang w:eastAsia="en-US" w:bidi="ar-SA"/>
            </w:rPr>
          </w:pPr>
          <w:r>
            <w:rPr>
              <w:rFonts w:eastAsia="MS Mincho"/>
              <w:lang w:eastAsia="en-US" w:bidi="ar-SA"/>
            </w:rPr>
            <w:t>Prosjektnummer: WBS P-101039-12</w:t>
          </w:r>
        </w:p>
      </w:tc>
    </w:tr>
  </w:tbl>
  <w:p w14:paraId="7EA76C58" w14:textId="77777777" w:rsidR="00EB2E15" w:rsidRDefault="00EB2E1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959"/>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086B0F92"/>
    <w:multiLevelType w:val="hybridMultilevel"/>
    <w:tmpl w:val="333E23FC"/>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BF70F12"/>
    <w:multiLevelType w:val="hybridMultilevel"/>
    <w:tmpl w:val="ABCE9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AA4C79"/>
    <w:multiLevelType w:val="hybridMultilevel"/>
    <w:tmpl w:val="0240C0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CD04CE"/>
    <w:multiLevelType w:val="hybridMultilevel"/>
    <w:tmpl w:val="91D898BA"/>
    <w:lvl w:ilvl="0" w:tplc="D940F5C0">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AB11E10"/>
    <w:multiLevelType w:val="multilevel"/>
    <w:tmpl w:val="1E32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554DC"/>
    <w:multiLevelType w:val="multilevel"/>
    <w:tmpl w:val="763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14B58"/>
    <w:multiLevelType w:val="hybridMultilevel"/>
    <w:tmpl w:val="68FC12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D361F"/>
    <w:multiLevelType w:val="multilevel"/>
    <w:tmpl w:val="E986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E6BE5"/>
    <w:multiLevelType w:val="hybridMultilevel"/>
    <w:tmpl w:val="1460E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B1033E4"/>
    <w:multiLevelType w:val="multilevel"/>
    <w:tmpl w:val="FEDC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B2640"/>
    <w:multiLevelType w:val="hybridMultilevel"/>
    <w:tmpl w:val="4F9A44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5B061BE"/>
    <w:multiLevelType w:val="multilevel"/>
    <w:tmpl w:val="0C6A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41CE7"/>
    <w:multiLevelType w:val="multilevel"/>
    <w:tmpl w:val="EE5A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D92F88"/>
    <w:multiLevelType w:val="multilevel"/>
    <w:tmpl w:val="535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097982">
    <w:abstractNumId w:val="7"/>
  </w:num>
  <w:num w:numId="2" w16cid:durableId="2033066346">
    <w:abstractNumId w:val="2"/>
  </w:num>
  <w:num w:numId="3" w16cid:durableId="1813326102">
    <w:abstractNumId w:val="5"/>
  </w:num>
  <w:num w:numId="4" w16cid:durableId="1565338181">
    <w:abstractNumId w:val="14"/>
  </w:num>
  <w:num w:numId="5" w16cid:durableId="2041273028">
    <w:abstractNumId w:val="6"/>
  </w:num>
  <w:num w:numId="6" w16cid:durableId="1083721758">
    <w:abstractNumId w:val="12"/>
  </w:num>
  <w:num w:numId="7" w16cid:durableId="1192304878">
    <w:abstractNumId w:val="10"/>
  </w:num>
  <w:num w:numId="8" w16cid:durableId="1628272536">
    <w:abstractNumId w:val="13"/>
  </w:num>
  <w:num w:numId="9" w16cid:durableId="388458216">
    <w:abstractNumId w:val="3"/>
  </w:num>
  <w:num w:numId="10" w16cid:durableId="161623562">
    <w:abstractNumId w:val="4"/>
  </w:num>
  <w:num w:numId="11" w16cid:durableId="215628598">
    <w:abstractNumId w:val="9"/>
  </w:num>
  <w:num w:numId="12" w16cid:durableId="533349051">
    <w:abstractNumId w:val="8"/>
  </w:num>
  <w:num w:numId="13" w16cid:durableId="26833073">
    <w:abstractNumId w:val="1"/>
  </w:num>
  <w:num w:numId="14" w16cid:durableId="1044600306">
    <w:abstractNumId w:val="11"/>
  </w:num>
  <w:num w:numId="15" w16cid:durableId="94608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E8"/>
    <w:rsid w:val="00017944"/>
    <w:rsid w:val="00046F28"/>
    <w:rsid w:val="00053B50"/>
    <w:rsid w:val="000545A9"/>
    <w:rsid w:val="000778B8"/>
    <w:rsid w:val="00082425"/>
    <w:rsid w:val="000971C5"/>
    <w:rsid w:val="000A089C"/>
    <w:rsid w:val="000A2CC8"/>
    <w:rsid w:val="000B0A26"/>
    <w:rsid w:val="000C585F"/>
    <w:rsid w:val="000F19D3"/>
    <w:rsid w:val="000F5E9D"/>
    <w:rsid w:val="00114D34"/>
    <w:rsid w:val="00120EE2"/>
    <w:rsid w:val="00126D42"/>
    <w:rsid w:val="00133933"/>
    <w:rsid w:val="00141D70"/>
    <w:rsid w:val="0015781D"/>
    <w:rsid w:val="00162517"/>
    <w:rsid w:val="00172EB1"/>
    <w:rsid w:val="00173E4A"/>
    <w:rsid w:val="00175180"/>
    <w:rsid w:val="00183790"/>
    <w:rsid w:val="001A2F10"/>
    <w:rsid w:val="001B0D50"/>
    <w:rsid w:val="001B193D"/>
    <w:rsid w:val="001C3488"/>
    <w:rsid w:val="001D16C9"/>
    <w:rsid w:val="001D6FAE"/>
    <w:rsid w:val="002117A8"/>
    <w:rsid w:val="00225354"/>
    <w:rsid w:val="00276D85"/>
    <w:rsid w:val="002826D3"/>
    <w:rsid w:val="0029311C"/>
    <w:rsid w:val="00295F60"/>
    <w:rsid w:val="002A50E8"/>
    <w:rsid w:val="002A5ECB"/>
    <w:rsid w:val="002A6019"/>
    <w:rsid w:val="002E35D7"/>
    <w:rsid w:val="002F041D"/>
    <w:rsid w:val="002F1727"/>
    <w:rsid w:val="002F5F98"/>
    <w:rsid w:val="003025A3"/>
    <w:rsid w:val="00313791"/>
    <w:rsid w:val="003236BD"/>
    <w:rsid w:val="0034474C"/>
    <w:rsid w:val="00361673"/>
    <w:rsid w:val="003919B9"/>
    <w:rsid w:val="00393998"/>
    <w:rsid w:val="003978E6"/>
    <w:rsid w:val="003D70E7"/>
    <w:rsid w:val="003E0956"/>
    <w:rsid w:val="003E1F87"/>
    <w:rsid w:val="003F568E"/>
    <w:rsid w:val="003F5A63"/>
    <w:rsid w:val="004126BC"/>
    <w:rsid w:val="00420D88"/>
    <w:rsid w:val="0044425B"/>
    <w:rsid w:val="00452051"/>
    <w:rsid w:val="00492F84"/>
    <w:rsid w:val="00494E2D"/>
    <w:rsid w:val="004A2796"/>
    <w:rsid w:val="004D20F1"/>
    <w:rsid w:val="004E1B85"/>
    <w:rsid w:val="004F64DD"/>
    <w:rsid w:val="004F73FF"/>
    <w:rsid w:val="004F7EEE"/>
    <w:rsid w:val="00521187"/>
    <w:rsid w:val="00522A61"/>
    <w:rsid w:val="00525C1B"/>
    <w:rsid w:val="005445A1"/>
    <w:rsid w:val="00584095"/>
    <w:rsid w:val="0059677D"/>
    <w:rsid w:val="005A122D"/>
    <w:rsid w:val="005B6FB5"/>
    <w:rsid w:val="005C2219"/>
    <w:rsid w:val="005C53DC"/>
    <w:rsid w:val="005E0209"/>
    <w:rsid w:val="005F671C"/>
    <w:rsid w:val="005F67C5"/>
    <w:rsid w:val="005F7E9D"/>
    <w:rsid w:val="00614102"/>
    <w:rsid w:val="006425D3"/>
    <w:rsid w:val="00662B0A"/>
    <w:rsid w:val="006A606A"/>
    <w:rsid w:val="006A6F1B"/>
    <w:rsid w:val="006B4BB4"/>
    <w:rsid w:val="006B58FB"/>
    <w:rsid w:val="006C7807"/>
    <w:rsid w:val="006E09D7"/>
    <w:rsid w:val="006E5D8D"/>
    <w:rsid w:val="00704459"/>
    <w:rsid w:val="0071774D"/>
    <w:rsid w:val="00720383"/>
    <w:rsid w:val="00742102"/>
    <w:rsid w:val="00755A2A"/>
    <w:rsid w:val="00763C5D"/>
    <w:rsid w:val="00766BA6"/>
    <w:rsid w:val="0077005E"/>
    <w:rsid w:val="007A2DB9"/>
    <w:rsid w:val="007A54CA"/>
    <w:rsid w:val="007B7816"/>
    <w:rsid w:val="007C16E6"/>
    <w:rsid w:val="007F7D83"/>
    <w:rsid w:val="0080104D"/>
    <w:rsid w:val="00825261"/>
    <w:rsid w:val="008435A0"/>
    <w:rsid w:val="00847D0B"/>
    <w:rsid w:val="0085108D"/>
    <w:rsid w:val="008644F5"/>
    <w:rsid w:val="008654E2"/>
    <w:rsid w:val="00866AA8"/>
    <w:rsid w:val="008715C2"/>
    <w:rsid w:val="008807B1"/>
    <w:rsid w:val="0088419A"/>
    <w:rsid w:val="0089280F"/>
    <w:rsid w:val="00892BB1"/>
    <w:rsid w:val="008A4B31"/>
    <w:rsid w:val="008A5ACC"/>
    <w:rsid w:val="008D1BF0"/>
    <w:rsid w:val="008E1369"/>
    <w:rsid w:val="009067A6"/>
    <w:rsid w:val="00910E67"/>
    <w:rsid w:val="00920852"/>
    <w:rsid w:val="009922FA"/>
    <w:rsid w:val="009A7AFA"/>
    <w:rsid w:val="009B7046"/>
    <w:rsid w:val="009C5703"/>
    <w:rsid w:val="009C5D8A"/>
    <w:rsid w:val="009F31FE"/>
    <w:rsid w:val="00A03715"/>
    <w:rsid w:val="00A06BCD"/>
    <w:rsid w:val="00A31501"/>
    <w:rsid w:val="00A35399"/>
    <w:rsid w:val="00A46DC8"/>
    <w:rsid w:val="00A515F0"/>
    <w:rsid w:val="00A65FB5"/>
    <w:rsid w:val="00A82445"/>
    <w:rsid w:val="00A96A2F"/>
    <w:rsid w:val="00AA18F2"/>
    <w:rsid w:val="00AB0E11"/>
    <w:rsid w:val="00AB7765"/>
    <w:rsid w:val="00AC2911"/>
    <w:rsid w:val="00AC74D5"/>
    <w:rsid w:val="00AD3F40"/>
    <w:rsid w:val="00AE6BA6"/>
    <w:rsid w:val="00AF26AC"/>
    <w:rsid w:val="00B12ED7"/>
    <w:rsid w:val="00B24D08"/>
    <w:rsid w:val="00B3043D"/>
    <w:rsid w:val="00B362D3"/>
    <w:rsid w:val="00B63662"/>
    <w:rsid w:val="00B701C6"/>
    <w:rsid w:val="00B743FC"/>
    <w:rsid w:val="00B91FA0"/>
    <w:rsid w:val="00BA2898"/>
    <w:rsid w:val="00BB2B89"/>
    <w:rsid w:val="00BC0C61"/>
    <w:rsid w:val="00BC3072"/>
    <w:rsid w:val="00BC7233"/>
    <w:rsid w:val="00BD688A"/>
    <w:rsid w:val="00BE1930"/>
    <w:rsid w:val="00BF7324"/>
    <w:rsid w:val="00C024CE"/>
    <w:rsid w:val="00C060A7"/>
    <w:rsid w:val="00C11AD1"/>
    <w:rsid w:val="00C15E89"/>
    <w:rsid w:val="00C27840"/>
    <w:rsid w:val="00C368E0"/>
    <w:rsid w:val="00C45888"/>
    <w:rsid w:val="00C50DB5"/>
    <w:rsid w:val="00C52563"/>
    <w:rsid w:val="00C706D2"/>
    <w:rsid w:val="00C90AA7"/>
    <w:rsid w:val="00C94886"/>
    <w:rsid w:val="00C97C29"/>
    <w:rsid w:val="00CA381F"/>
    <w:rsid w:val="00CA6E93"/>
    <w:rsid w:val="00CB187D"/>
    <w:rsid w:val="00CB7D53"/>
    <w:rsid w:val="00CE3715"/>
    <w:rsid w:val="00CE5EDA"/>
    <w:rsid w:val="00CE6E21"/>
    <w:rsid w:val="00CF1EB3"/>
    <w:rsid w:val="00CF4F02"/>
    <w:rsid w:val="00CF6943"/>
    <w:rsid w:val="00D35A67"/>
    <w:rsid w:val="00D4226F"/>
    <w:rsid w:val="00D4623D"/>
    <w:rsid w:val="00D53E20"/>
    <w:rsid w:val="00D55433"/>
    <w:rsid w:val="00D62F6F"/>
    <w:rsid w:val="00D671BD"/>
    <w:rsid w:val="00D8388B"/>
    <w:rsid w:val="00D873E4"/>
    <w:rsid w:val="00DA148B"/>
    <w:rsid w:val="00DB0EC1"/>
    <w:rsid w:val="00DB46A2"/>
    <w:rsid w:val="00DC4A6B"/>
    <w:rsid w:val="00DC6D24"/>
    <w:rsid w:val="00DD16AC"/>
    <w:rsid w:val="00DE78A6"/>
    <w:rsid w:val="00E0454D"/>
    <w:rsid w:val="00E11A29"/>
    <w:rsid w:val="00E12668"/>
    <w:rsid w:val="00E2500F"/>
    <w:rsid w:val="00E26551"/>
    <w:rsid w:val="00E443F2"/>
    <w:rsid w:val="00E84E58"/>
    <w:rsid w:val="00E871DE"/>
    <w:rsid w:val="00E91A97"/>
    <w:rsid w:val="00E92FDD"/>
    <w:rsid w:val="00E941D1"/>
    <w:rsid w:val="00E95133"/>
    <w:rsid w:val="00EA0F96"/>
    <w:rsid w:val="00EA3D3C"/>
    <w:rsid w:val="00EB2E15"/>
    <w:rsid w:val="00EB7D88"/>
    <w:rsid w:val="00EC37C9"/>
    <w:rsid w:val="00EC42F9"/>
    <w:rsid w:val="00EE7DE5"/>
    <w:rsid w:val="00EF4D3E"/>
    <w:rsid w:val="00F00369"/>
    <w:rsid w:val="00F066EF"/>
    <w:rsid w:val="00F13EC0"/>
    <w:rsid w:val="00F46141"/>
    <w:rsid w:val="00F46B83"/>
    <w:rsid w:val="00F50AED"/>
    <w:rsid w:val="00F52F6A"/>
    <w:rsid w:val="00F77E34"/>
    <w:rsid w:val="00F81E91"/>
    <w:rsid w:val="00F865F6"/>
    <w:rsid w:val="00F8694B"/>
    <w:rsid w:val="00F977BB"/>
    <w:rsid w:val="00FA0702"/>
    <w:rsid w:val="00FC7543"/>
    <w:rsid w:val="00FD12C6"/>
    <w:rsid w:val="00FF30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57260"/>
  <w15:chartTrackingRefBased/>
  <w15:docId w15:val="{514BE5A4-5772-4B9E-94FC-EEE63E2A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E8"/>
    <w:pPr>
      <w:autoSpaceDE w:val="0"/>
      <w:autoSpaceDN w:val="0"/>
      <w:adjustRightInd w:val="0"/>
      <w:spacing w:after="120" w:line="240" w:lineRule="auto"/>
    </w:pPr>
    <w:rPr>
      <w:rFonts w:eastAsia="Times New Roman" w:cs="Times New Roman"/>
      <w:color w:val="000000"/>
      <w:kern w:val="0"/>
      <w:lang w:eastAsia="nb-NO" w:bidi="ne-NP"/>
      <w14:ligatures w14:val="none"/>
    </w:rPr>
  </w:style>
  <w:style w:type="paragraph" w:styleId="Overskrift1">
    <w:name w:val="heading 1"/>
    <w:basedOn w:val="Normal"/>
    <w:next w:val="Normal"/>
    <w:link w:val="Overskrift1Tegn"/>
    <w:qFormat/>
    <w:rsid w:val="007A54CA"/>
    <w:pPr>
      <w:keepNext/>
      <w:keepLines/>
      <w:numPr>
        <w:numId w:val="1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2A50E8"/>
    <w:pPr>
      <w:keepNext/>
      <w:keepLines/>
      <w:numPr>
        <w:ilvl w:val="1"/>
        <w:numId w:val="1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2A50E8"/>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2A50E8"/>
    <w:pPr>
      <w:keepNext/>
      <w:keepLines/>
      <w:numPr>
        <w:ilvl w:val="3"/>
        <w:numId w:val="15"/>
      </w:numPr>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2A50E8"/>
    <w:pPr>
      <w:keepNext/>
      <w:keepLines/>
      <w:numPr>
        <w:ilvl w:val="4"/>
        <w:numId w:val="15"/>
      </w:numPr>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2A50E8"/>
    <w:pPr>
      <w:keepNext/>
      <w:keepLines/>
      <w:numPr>
        <w:ilvl w:val="5"/>
        <w:numId w:val="15"/>
      </w:numPr>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2A50E8"/>
    <w:pPr>
      <w:keepNext/>
      <w:keepLines/>
      <w:numPr>
        <w:ilvl w:val="6"/>
        <w:numId w:val="15"/>
      </w:numPr>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2A50E8"/>
    <w:pPr>
      <w:keepNext/>
      <w:keepLines/>
      <w:numPr>
        <w:ilvl w:val="7"/>
        <w:numId w:val="15"/>
      </w:numPr>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2A50E8"/>
    <w:pPr>
      <w:keepNext/>
      <w:keepLines/>
      <w:numPr>
        <w:ilvl w:val="8"/>
        <w:numId w:val="15"/>
      </w:numPr>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A54CA"/>
    <w:rPr>
      <w:rFonts w:asciiTheme="majorHAnsi" w:eastAsiaTheme="majorEastAsia" w:hAnsiTheme="majorHAnsi" w:cstheme="majorBidi"/>
      <w:color w:val="0F4761" w:themeColor="accent1" w:themeShade="BF"/>
      <w:kern w:val="0"/>
      <w:sz w:val="40"/>
      <w:szCs w:val="40"/>
      <w:lang w:eastAsia="nb-NO" w:bidi="ne-NP"/>
      <w14:ligatures w14:val="none"/>
    </w:rPr>
  </w:style>
  <w:style w:type="character" w:customStyle="1" w:styleId="Overskrift2Tegn">
    <w:name w:val="Overskrift 2 Tegn"/>
    <w:basedOn w:val="Standardskriftforavsnitt"/>
    <w:link w:val="Overskrift2"/>
    <w:uiPriority w:val="9"/>
    <w:rsid w:val="002A50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A50E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A50E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A50E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A50E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A50E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A50E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A50E8"/>
    <w:rPr>
      <w:rFonts w:eastAsiaTheme="majorEastAsia" w:cstheme="majorBidi"/>
      <w:color w:val="272727" w:themeColor="text1" w:themeTint="D8"/>
    </w:rPr>
  </w:style>
  <w:style w:type="paragraph" w:styleId="Tittel">
    <w:name w:val="Title"/>
    <w:basedOn w:val="Normal"/>
    <w:next w:val="Normal"/>
    <w:link w:val="TittelTegn"/>
    <w:uiPriority w:val="10"/>
    <w:qFormat/>
    <w:rsid w:val="002A50E8"/>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A50E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A50E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A50E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A50E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A50E8"/>
    <w:rPr>
      <w:i/>
      <w:iCs/>
      <w:color w:val="404040" w:themeColor="text1" w:themeTint="BF"/>
    </w:rPr>
  </w:style>
  <w:style w:type="paragraph" w:styleId="Listeavsnitt">
    <w:name w:val="List Paragraph"/>
    <w:basedOn w:val="Normal"/>
    <w:uiPriority w:val="34"/>
    <w:qFormat/>
    <w:rsid w:val="002A50E8"/>
    <w:pPr>
      <w:ind w:left="720"/>
      <w:contextualSpacing/>
    </w:pPr>
  </w:style>
  <w:style w:type="character" w:styleId="Sterkutheving">
    <w:name w:val="Intense Emphasis"/>
    <w:basedOn w:val="Standardskriftforavsnitt"/>
    <w:uiPriority w:val="21"/>
    <w:qFormat/>
    <w:rsid w:val="002A50E8"/>
    <w:rPr>
      <w:i/>
      <w:iCs/>
      <w:color w:val="0F4761" w:themeColor="accent1" w:themeShade="BF"/>
    </w:rPr>
  </w:style>
  <w:style w:type="paragraph" w:styleId="Sterktsitat">
    <w:name w:val="Intense Quote"/>
    <w:basedOn w:val="Normal"/>
    <w:next w:val="Normal"/>
    <w:link w:val="SterktsitatTegn"/>
    <w:uiPriority w:val="30"/>
    <w:qFormat/>
    <w:rsid w:val="002A5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A50E8"/>
    <w:rPr>
      <w:i/>
      <w:iCs/>
      <w:color w:val="0F4761" w:themeColor="accent1" w:themeShade="BF"/>
    </w:rPr>
  </w:style>
  <w:style w:type="character" w:styleId="Sterkreferanse">
    <w:name w:val="Intense Reference"/>
    <w:basedOn w:val="Standardskriftforavsnitt"/>
    <w:uiPriority w:val="32"/>
    <w:qFormat/>
    <w:rsid w:val="002A50E8"/>
    <w:rPr>
      <w:b/>
      <w:bCs/>
      <w:smallCaps/>
      <w:color w:val="0F4761" w:themeColor="accent1" w:themeShade="BF"/>
      <w:spacing w:val="5"/>
    </w:rPr>
  </w:style>
  <w:style w:type="paragraph" w:styleId="Revisjon">
    <w:name w:val="Revision"/>
    <w:hidden/>
    <w:uiPriority w:val="99"/>
    <w:semiHidden/>
    <w:rsid w:val="000A089C"/>
    <w:pPr>
      <w:spacing w:after="0" w:line="240" w:lineRule="auto"/>
    </w:pPr>
    <w:rPr>
      <w:rFonts w:eastAsia="Times New Roman" w:cs="Times New Roman"/>
      <w:color w:val="000000"/>
      <w:kern w:val="0"/>
      <w:szCs w:val="20"/>
      <w:lang w:eastAsia="nb-NO" w:bidi="ne-NP"/>
      <w14:ligatures w14:val="none"/>
    </w:rPr>
  </w:style>
  <w:style w:type="paragraph" w:styleId="Bunntekst">
    <w:name w:val="footer"/>
    <w:basedOn w:val="Normal"/>
    <w:link w:val="BunntekstTegn"/>
    <w:uiPriority w:val="99"/>
    <w:unhideWhenUsed/>
    <w:rsid w:val="002A6019"/>
    <w:pPr>
      <w:tabs>
        <w:tab w:val="center" w:pos="4536"/>
        <w:tab w:val="right" w:pos="9072"/>
      </w:tabs>
      <w:spacing w:after="0"/>
    </w:pPr>
    <w:rPr>
      <w:szCs w:val="20"/>
    </w:rPr>
  </w:style>
  <w:style w:type="character" w:customStyle="1" w:styleId="BunntekstTegn">
    <w:name w:val="Bunntekst Tegn"/>
    <w:basedOn w:val="Standardskriftforavsnitt"/>
    <w:link w:val="Bunntekst"/>
    <w:uiPriority w:val="99"/>
    <w:rsid w:val="002A6019"/>
    <w:rPr>
      <w:rFonts w:eastAsia="Times New Roman" w:cs="Times New Roman"/>
      <w:color w:val="000000"/>
      <w:kern w:val="0"/>
      <w:szCs w:val="20"/>
      <w:lang w:eastAsia="nb-NO" w:bidi="ne-NP"/>
      <w14:ligatures w14:val="none"/>
    </w:rPr>
  </w:style>
  <w:style w:type="character" w:styleId="Merknadsreferanse">
    <w:name w:val="annotation reference"/>
    <w:basedOn w:val="Standardskriftforavsnitt"/>
    <w:uiPriority w:val="99"/>
    <w:semiHidden/>
    <w:unhideWhenUsed/>
    <w:rsid w:val="00CA381F"/>
    <w:rPr>
      <w:sz w:val="16"/>
      <w:szCs w:val="16"/>
    </w:rPr>
  </w:style>
  <w:style w:type="paragraph" w:styleId="Merknadstekst">
    <w:name w:val="annotation text"/>
    <w:basedOn w:val="Normal"/>
    <w:link w:val="MerknadstekstTegn"/>
    <w:uiPriority w:val="99"/>
    <w:unhideWhenUsed/>
    <w:rsid w:val="00CA381F"/>
    <w:rPr>
      <w:sz w:val="20"/>
      <w:szCs w:val="18"/>
    </w:rPr>
  </w:style>
  <w:style w:type="character" w:customStyle="1" w:styleId="MerknadstekstTegn">
    <w:name w:val="Merknadstekst Tegn"/>
    <w:basedOn w:val="Standardskriftforavsnitt"/>
    <w:link w:val="Merknadstekst"/>
    <w:uiPriority w:val="99"/>
    <w:rsid w:val="00CA381F"/>
    <w:rPr>
      <w:rFonts w:eastAsia="Times New Roman" w:cs="Times New Roman"/>
      <w:color w:val="000000"/>
      <w:kern w:val="0"/>
      <w:sz w:val="20"/>
      <w:szCs w:val="18"/>
      <w:lang w:eastAsia="nb-NO" w:bidi="ne-NP"/>
      <w14:ligatures w14:val="none"/>
    </w:rPr>
  </w:style>
  <w:style w:type="paragraph" w:styleId="Kommentaremne">
    <w:name w:val="annotation subject"/>
    <w:basedOn w:val="Merknadstekst"/>
    <w:next w:val="Merknadstekst"/>
    <w:link w:val="KommentaremneTegn"/>
    <w:uiPriority w:val="99"/>
    <w:semiHidden/>
    <w:unhideWhenUsed/>
    <w:rsid w:val="00CA381F"/>
    <w:rPr>
      <w:b/>
      <w:bCs/>
    </w:rPr>
  </w:style>
  <w:style w:type="character" w:customStyle="1" w:styleId="KommentaremneTegn">
    <w:name w:val="Kommentaremne Tegn"/>
    <w:basedOn w:val="MerknadstekstTegn"/>
    <w:link w:val="Kommentaremne"/>
    <w:uiPriority w:val="99"/>
    <w:semiHidden/>
    <w:rsid w:val="00CA381F"/>
    <w:rPr>
      <w:rFonts w:eastAsia="Times New Roman" w:cs="Times New Roman"/>
      <w:b/>
      <w:bCs/>
      <w:color w:val="000000"/>
      <w:kern w:val="0"/>
      <w:sz w:val="20"/>
      <w:szCs w:val="18"/>
      <w:lang w:eastAsia="nb-NO" w:bidi="ne-NP"/>
      <w14:ligatures w14:val="none"/>
    </w:rPr>
  </w:style>
  <w:style w:type="paragraph" w:styleId="Ingenmellomrom">
    <w:name w:val="No Spacing"/>
    <w:link w:val="IngenmellomromTegn"/>
    <w:uiPriority w:val="1"/>
    <w:qFormat/>
    <w:rsid w:val="00C45888"/>
    <w:pPr>
      <w:spacing w:after="0" w:line="240" w:lineRule="auto"/>
    </w:pPr>
    <w:rPr>
      <w:rFonts w:eastAsiaTheme="minorEastAsia"/>
      <w:kern w:val="0"/>
      <w:lang w:eastAsia="nb-NO"/>
      <w14:ligatures w14:val="none"/>
    </w:rPr>
  </w:style>
  <w:style w:type="character" w:customStyle="1" w:styleId="IngenmellomromTegn">
    <w:name w:val="Ingen mellomrom Tegn"/>
    <w:basedOn w:val="Standardskriftforavsnitt"/>
    <w:link w:val="Ingenmellomrom"/>
    <w:uiPriority w:val="1"/>
    <w:rsid w:val="00C45888"/>
    <w:rPr>
      <w:rFonts w:eastAsiaTheme="minorEastAsia"/>
      <w:kern w:val="0"/>
      <w:lang w:eastAsia="nb-NO"/>
      <w14:ligatures w14:val="none"/>
    </w:rPr>
  </w:style>
  <w:style w:type="paragraph" w:styleId="Topptekst">
    <w:name w:val="header"/>
    <w:basedOn w:val="Normal"/>
    <w:link w:val="TopptekstTegn"/>
    <w:uiPriority w:val="99"/>
    <w:unhideWhenUsed/>
    <w:rsid w:val="00EB2E15"/>
    <w:pPr>
      <w:tabs>
        <w:tab w:val="center" w:pos="4536"/>
        <w:tab w:val="right" w:pos="9072"/>
      </w:tabs>
      <w:spacing w:after="0"/>
    </w:pPr>
    <w:rPr>
      <w:szCs w:val="20"/>
    </w:rPr>
  </w:style>
  <w:style w:type="character" w:customStyle="1" w:styleId="TopptekstTegn">
    <w:name w:val="Topptekst Tegn"/>
    <w:basedOn w:val="Standardskriftforavsnitt"/>
    <w:link w:val="Topptekst"/>
    <w:uiPriority w:val="99"/>
    <w:rsid w:val="00EB2E15"/>
    <w:rPr>
      <w:rFonts w:eastAsia="Times New Roman" w:cs="Times New Roman"/>
      <w:color w:val="000000"/>
      <w:kern w:val="0"/>
      <w:szCs w:val="20"/>
      <w:lang w:eastAsia="nb-NO" w:bidi="ne-NP"/>
      <w14:ligatures w14:val="none"/>
    </w:rPr>
  </w:style>
  <w:style w:type="character" w:styleId="Hyperkobling">
    <w:name w:val="Hyperlink"/>
    <w:basedOn w:val="Standardskriftforavsnitt"/>
    <w:uiPriority w:val="99"/>
    <w:unhideWhenUsed/>
    <w:rsid w:val="005445A1"/>
    <w:rPr>
      <w:color w:val="467886" w:themeColor="hyperlink"/>
      <w:u w:val="single"/>
    </w:rPr>
  </w:style>
  <w:style w:type="character" w:styleId="Ulstomtale">
    <w:name w:val="Unresolved Mention"/>
    <w:basedOn w:val="Standardskriftforavsnitt"/>
    <w:uiPriority w:val="99"/>
    <w:semiHidden/>
    <w:unhideWhenUsed/>
    <w:rsid w:val="005445A1"/>
    <w:rPr>
      <w:color w:val="605E5C"/>
      <w:shd w:val="clear" w:color="auto" w:fill="E1DFDD"/>
    </w:rPr>
  </w:style>
  <w:style w:type="paragraph" w:styleId="Overskriftforinnholdsfortegnelse">
    <w:name w:val="TOC Heading"/>
    <w:basedOn w:val="Overskrift1"/>
    <w:next w:val="Normal"/>
    <w:uiPriority w:val="39"/>
    <w:unhideWhenUsed/>
    <w:qFormat/>
    <w:rsid w:val="00C706D2"/>
    <w:pPr>
      <w:autoSpaceDE/>
      <w:autoSpaceDN/>
      <w:adjustRightInd/>
      <w:spacing w:before="240" w:after="0" w:line="259" w:lineRule="auto"/>
      <w:outlineLvl w:val="9"/>
    </w:pPr>
    <w:rPr>
      <w:sz w:val="32"/>
      <w:szCs w:val="32"/>
      <w:lang w:bidi="ar-SA"/>
    </w:rPr>
  </w:style>
  <w:style w:type="paragraph" w:styleId="INNH2">
    <w:name w:val="toc 2"/>
    <w:basedOn w:val="Normal"/>
    <w:next w:val="Normal"/>
    <w:autoRedefine/>
    <w:uiPriority w:val="39"/>
    <w:unhideWhenUsed/>
    <w:rsid w:val="00C706D2"/>
    <w:pPr>
      <w:autoSpaceDE/>
      <w:autoSpaceDN/>
      <w:adjustRightInd/>
      <w:spacing w:after="100" w:line="259" w:lineRule="auto"/>
      <w:ind w:left="220"/>
    </w:pPr>
    <w:rPr>
      <w:rFonts w:eastAsiaTheme="minorEastAsia"/>
      <w:color w:val="auto"/>
      <w:lang w:bidi="ar-SA"/>
    </w:rPr>
  </w:style>
  <w:style w:type="paragraph" w:styleId="INNH1">
    <w:name w:val="toc 1"/>
    <w:basedOn w:val="Normal"/>
    <w:next w:val="Normal"/>
    <w:autoRedefine/>
    <w:uiPriority w:val="39"/>
    <w:unhideWhenUsed/>
    <w:rsid w:val="00C706D2"/>
    <w:pPr>
      <w:autoSpaceDE/>
      <w:autoSpaceDN/>
      <w:adjustRightInd/>
      <w:spacing w:after="100" w:line="259" w:lineRule="auto"/>
    </w:pPr>
    <w:rPr>
      <w:rFonts w:eastAsiaTheme="minorEastAsia"/>
      <w:color w:val="auto"/>
      <w:lang w:bidi="ar-SA"/>
    </w:rPr>
  </w:style>
  <w:style w:type="paragraph" w:styleId="INNH3">
    <w:name w:val="toc 3"/>
    <w:basedOn w:val="Normal"/>
    <w:next w:val="Normal"/>
    <w:autoRedefine/>
    <w:uiPriority w:val="39"/>
    <w:unhideWhenUsed/>
    <w:rsid w:val="00C706D2"/>
    <w:pPr>
      <w:autoSpaceDE/>
      <w:autoSpaceDN/>
      <w:adjustRightInd/>
      <w:spacing w:after="100" w:line="259" w:lineRule="auto"/>
      <w:ind w:left="440"/>
    </w:pPr>
    <w:rPr>
      <w:rFonts w:eastAsiaTheme="minorEastAsia"/>
      <w:color w:val="auto"/>
      <w:lang w:bidi="ar-SA"/>
    </w:rPr>
  </w:style>
  <w:style w:type="table" w:styleId="Tabellrutenett">
    <w:name w:val="Table Grid"/>
    <w:basedOn w:val="Vanligtabell"/>
    <w:uiPriority w:val="39"/>
    <w:rsid w:val="00C706D2"/>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uiPriority w:val="35"/>
    <w:unhideWhenUsed/>
    <w:qFormat/>
    <w:rsid w:val="008E1369"/>
    <w:pPr>
      <w:spacing w:after="200"/>
    </w:pPr>
    <w:rPr>
      <w:i/>
      <w:iCs/>
      <w:color w:val="0E2841" w:themeColor="text2"/>
      <w:sz w:val="18"/>
      <w:szCs w:val="16"/>
    </w:rPr>
  </w:style>
  <w:style w:type="character" w:styleId="Fulgthyperkobling">
    <w:name w:val="FollowedHyperlink"/>
    <w:basedOn w:val="Standardskriftforavsnitt"/>
    <w:uiPriority w:val="99"/>
    <w:semiHidden/>
    <w:unhideWhenUsed/>
    <w:rsid w:val="00D554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norcrin.fnsp.nhn.no/495bc7/siteassets/norcrin/arbeidspakker/ap-11/ap11-v2.5-delrapport.docx" TargetMode="External"/><Relationship Id="rId3" Type="http://schemas.openxmlformats.org/officeDocument/2006/relationships/styles" Target="styles.xml"/><Relationship Id="rId21" Type="http://schemas.openxmlformats.org/officeDocument/2006/relationships/hyperlink" Target="https://norcrin.fnsp.nhn.no/495bc7/siteassets/norcrin/arbeidspakker/ap-11/20250401-anbefalingene-rapport-ap11.xlsx"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norcrin.fnsp.nhn.no/495bc6/siteassets/norcrin/arbeidspakker/ap-11/20250104-ap11-rapportvedlegg-om-land-v2.1.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crin.fnsp.nhn.no/495bc6/siteassets/norcrin/arbeidspakker/ap-11/20250401-ap11-rapportvedlegg-om-norge_til-publisering_1.3.docx" TargetMode="External"/><Relationship Id="rId20" Type="http://schemas.openxmlformats.org/officeDocument/2006/relationships/hyperlink" Target="https://norcrin.fnsp.nhn.no/4963a2/siteassets/norcrin/arbeidspakker/ap-11/tabell-kartlegging-norge-19.08.24.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jeringen.no/no/dokumenter/horing-forslag-til-endringer-i-reglene-om-taushetsplikt-i-helsepersonelloven-og-pasientjournalloven-mv/id3054526/" TargetMode="External"/><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https://norcrin.fnsp.nhn.no/495bc7/siteassets/norcrin/arbeidspakker/ap-11/ap11-vedlegg-4-oppsummering-av-kartleggingen-utenfor-norge.docx"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0CFB13-A4A5-4EF9-A9B6-E559F67B6F32}" type="doc">
      <dgm:prSet loTypeId="urn:microsoft.com/office/officeart/2005/8/layout/arrow2" loCatId="process" qsTypeId="urn:microsoft.com/office/officeart/2005/8/quickstyle/simple1" qsCatId="simple" csTypeId="urn:microsoft.com/office/officeart/2005/8/colors/accent1_2" csCatId="accent1" phldr="1"/>
      <dgm:spPr/>
    </dgm:pt>
    <dgm:pt modelId="{1EE56A8A-31C8-4847-BC92-D58D0DE2FFA2}">
      <dgm:prSet phldrT="[Tekst]" custT="1"/>
      <dgm:spPr/>
      <dgm:t>
        <a:bodyPr/>
        <a:lstStyle/>
        <a:p>
          <a:pPr>
            <a:buNone/>
          </a:pPr>
          <a:r>
            <a:rPr lang="nb-NO" sz="1400" dirty="0"/>
            <a:t>Nivå 1</a:t>
          </a:r>
        </a:p>
      </dgm:t>
    </dgm:pt>
    <dgm:pt modelId="{68AA096E-A872-4EC4-B333-DE8E99F15592}" type="parTrans" cxnId="{2A482192-E24C-4E8C-89BE-8ADADCC0824C}">
      <dgm:prSet/>
      <dgm:spPr/>
      <dgm:t>
        <a:bodyPr/>
        <a:lstStyle/>
        <a:p>
          <a:endParaRPr lang="nb-NO"/>
        </a:p>
      </dgm:t>
    </dgm:pt>
    <dgm:pt modelId="{9F9D61BF-D106-4B22-A745-2E806A2AAAC6}" type="sibTrans" cxnId="{2A482192-E24C-4E8C-89BE-8ADADCC0824C}">
      <dgm:prSet/>
      <dgm:spPr/>
      <dgm:t>
        <a:bodyPr/>
        <a:lstStyle/>
        <a:p>
          <a:endParaRPr lang="nb-NO"/>
        </a:p>
      </dgm:t>
    </dgm:pt>
    <dgm:pt modelId="{80A6ADEE-457B-4053-9649-82F3D1E5D98C}">
      <dgm:prSet phldrT="[Tekst]" custT="1"/>
      <dgm:spPr/>
      <dgm:t>
        <a:bodyPr/>
        <a:lstStyle/>
        <a:p>
          <a:pPr>
            <a:buNone/>
          </a:pPr>
          <a:r>
            <a:rPr lang="nb-NO" sz="1400" dirty="0"/>
            <a:t>Nivå 2</a:t>
          </a:r>
        </a:p>
      </dgm:t>
    </dgm:pt>
    <dgm:pt modelId="{0B439C53-00D0-44FE-AC6A-DFF789EB1DE8}" type="parTrans" cxnId="{99540135-6E58-47F2-8502-B4174E4A9178}">
      <dgm:prSet/>
      <dgm:spPr/>
      <dgm:t>
        <a:bodyPr/>
        <a:lstStyle/>
        <a:p>
          <a:endParaRPr lang="nb-NO"/>
        </a:p>
      </dgm:t>
    </dgm:pt>
    <dgm:pt modelId="{C58BE952-4D96-421C-9F72-1131F9B96B52}" type="sibTrans" cxnId="{99540135-6E58-47F2-8502-B4174E4A9178}">
      <dgm:prSet/>
      <dgm:spPr/>
      <dgm:t>
        <a:bodyPr/>
        <a:lstStyle/>
        <a:p>
          <a:endParaRPr lang="nb-NO"/>
        </a:p>
      </dgm:t>
    </dgm:pt>
    <dgm:pt modelId="{51F3BF09-16C3-415F-ABBC-B57A7F4F125D}">
      <dgm:prSet phldrT="[Tekst]" custT="1"/>
      <dgm:spPr/>
      <dgm:t>
        <a:bodyPr/>
        <a:lstStyle/>
        <a:p>
          <a:pPr algn="l">
            <a:buNone/>
          </a:pPr>
          <a:r>
            <a:rPr lang="nb-NO" sz="1400" dirty="0"/>
            <a:t>Nivå 3 </a:t>
          </a:r>
        </a:p>
        <a:p>
          <a:pPr algn="l">
            <a:buNone/>
          </a:pPr>
          <a:r>
            <a:rPr lang="nb-NO" sz="1000" dirty="0"/>
            <a:t>Sponsor av nasjonale multisenterstudier</a:t>
          </a:r>
          <a:endParaRPr lang="nb-NO" sz="1400" dirty="0"/>
        </a:p>
      </dgm:t>
    </dgm:pt>
    <dgm:pt modelId="{4CEBF525-3492-453A-9F5E-1E18F2150A9E}" type="parTrans" cxnId="{503CC6A8-0999-435C-9527-DC03DF0471A2}">
      <dgm:prSet/>
      <dgm:spPr/>
      <dgm:t>
        <a:bodyPr/>
        <a:lstStyle/>
        <a:p>
          <a:endParaRPr lang="nb-NO"/>
        </a:p>
      </dgm:t>
    </dgm:pt>
    <dgm:pt modelId="{9A194794-C6E1-478D-BFB2-773284793996}" type="sibTrans" cxnId="{503CC6A8-0999-435C-9527-DC03DF0471A2}">
      <dgm:prSet/>
      <dgm:spPr/>
      <dgm:t>
        <a:bodyPr/>
        <a:lstStyle/>
        <a:p>
          <a:endParaRPr lang="nb-NO"/>
        </a:p>
      </dgm:t>
    </dgm:pt>
    <dgm:pt modelId="{11390F7E-1653-49E2-9225-E614A9374561}">
      <dgm:prSet phldrT="[Tekst]" custT="1"/>
      <dgm:spPr/>
      <dgm:t>
        <a:bodyPr/>
        <a:lstStyle/>
        <a:p>
          <a:pPr>
            <a:buNone/>
          </a:pPr>
          <a:r>
            <a:rPr lang="nb-NO" sz="1400" dirty="0"/>
            <a:t>Nivå 4 </a:t>
          </a:r>
        </a:p>
      </dgm:t>
    </dgm:pt>
    <dgm:pt modelId="{3137F61D-9EAE-49D4-9209-9A74A800FC14}" type="parTrans" cxnId="{1369CAFF-E2E7-48D1-AF4E-27B7F5E2BC87}">
      <dgm:prSet/>
      <dgm:spPr/>
      <dgm:t>
        <a:bodyPr/>
        <a:lstStyle/>
        <a:p>
          <a:endParaRPr lang="nb-NO"/>
        </a:p>
      </dgm:t>
    </dgm:pt>
    <dgm:pt modelId="{484FE857-9740-4FF3-81E1-0B4A05FC42A2}" type="sibTrans" cxnId="{1369CAFF-E2E7-48D1-AF4E-27B7F5E2BC87}">
      <dgm:prSet/>
      <dgm:spPr/>
      <dgm:t>
        <a:bodyPr/>
        <a:lstStyle/>
        <a:p>
          <a:endParaRPr lang="nb-NO"/>
        </a:p>
      </dgm:t>
    </dgm:pt>
    <dgm:pt modelId="{A89EEFD8-C2D9-4C32-8A82-344E42CD9FAC}">
      <dgm:prSet phldrT="[Tekst]" custT="1"/>
      <dgm:spPr/>
      <dgm:t>
        <a:bodyPr/>
        <a:lstStyle/>
        <a:p>
          <a:pPr>
            <a:buNone/>
          </a:pPr>
          <a:r>
            <a:rPr lang="nb-NO" sz="1000" dirty="0"/>
            <a:t>Sponsor for</a:t>
          </a:r>
          <a:endParaRPr lang="nb-NO" sz="1000" dirty="0">
            <a:highlight>
              <a:srgbClr val="FFFF00"/>
            </a:highlight>
          </a:endParaRPr>
        </a:p>
      </dgm:t>
    </dgm:pt>
    <dgm:pt modelId="{4C7D59AA-5C5B-4826-BFB4-2791A5327B62}" type="parTrans" cxnId="{6B44A36B-D2E7-4928-BCC0-375684F66199}">
      <dgm:prSet/>
      <dgm:spPr/>
      <dgm:t>
        <a:bodyPr/>
        <a:lstStyle/>
        <a:p>
          <a:endParaRPr lang="nb-NO"/>
        </a:p>
      </dgm:t>
    </dgm:pt>
    <dgm:pt modelId="{8123BBF8-A942-467E-963D-68B44215907C}" type="sibTrans" cxnId="{6B44A36B-D2E7-4928-BCC0-375684F66199}">
      <dgm:prSet/>
      <dgm:spPr/>
      <dgm:t>
        <a:bodyPr/>
        <a:lstStyle/>
        <a:p>
          <a:endParaRPr lang="nb-NO"/>
        </a:p>
      </dgm:t>
    </dgm:pt>
    <dgm:pt modelId="{7165A729-F2CF-4BF4-AD8D-4E5300AAD890}">
      <dgm:prSet phldrT="[Tekst]" custT="1"/>
      <dgm:spPr/>
      <dgm:t>
        <a:bodyPr/>
        <a:lstStyle/>
        <a:p>
          <a:pPr>
            <a:buNone/>
          </a:pPr>
          <a:r>
            <a:rPr lang="nb-NO" sz="1000" dirty="0"/>
            <a:t>Lokale sentre som</a:t>
          </a:r>
        </a:p>
      </dgm:t>
    </dgm:pt>
    <dgm:pt modelId="{C699E154-DFED-48F6-A67E-AC8D0F2C6F91}" type="sibTrans" cxnId="{F16D92D4-60A1-4F71-A794-3444B62BC278}">
      <dgm:prSet/>
      <dgm:spPr/>
      <dgm:t>
        <a:bodyPr/>
        <a:lstStyle/>
        <a:p>
          <a:endParaRPr lang="nb-NO"/>
        </a:p>
      </dgm:t>
    </dgm:pt>
    <dgm:pt modelId="{8A999372-5FDF-4F45-8666-1C97EDD062A2}" type="parTrans" cxnId="{F16D92D4-60A1-4F71-A794-3444B62BC278}">
      <dgm:prSet/>
      <dgm:spPr/>
      <dgm:t>
        <a:bodyPr/>
        <a:lstStyle/>
        <a:p>
          <a:endParaRPr lang="nb-NO"/>
        </a:p>
      </dgm:t>
    </dgm:pt>
    <dgm:pt modelId="{60F46BF8-61CF-492A-8488-02F44AA59A69}">
      <dgm:prSet phldrT="[Tekst]" custT="1"/>
      <dgm:spPr/>
      <dgm:t>
        <a:bodyPr/>
        <a:lstStyle/>
        <a:p>
          <a:pPr>
            <a:buNone/>
          </a:pPr>
          <a:r>
            <a:rPr lang="nb-NO" sz="1000" dirty="0"/>
            <a:t>deltar i nasjonale</a:t>
          </a:r>
        </a:p>
      </dgm:t>
    </dgm:pt>
    <dgm:pt modelId="{D2F469E7-1ADC-4E62-9E94-088B28965C21}" type="parTrans" cxnId="{C56A4627-0A3C-4064-A55A-B676241627DC}">
      <dgm:prSet/>
      <dgm:spPr/>
      <dgm:t>
        <a:bodyPr/>
        <a:lstStyle/>
        <a:p>
          <a:endParaRPr lang="nb-NO"/>
        </a:p>
      </dgm:t>
    </dgm:pt>
    <dgm:pt modelId="{8846433E-D33F-49D9-B8E8-C28C7F2F9230}" type="sibTrans" cxnId="{C56A4627-0A3C-4064-A55A-B676241627DC}">
      <dgm:prSet/>
      <dgm:spPr/>
      <dgm:t>
        <a:bodyPr/>
        <a:lstStyle/>
        <a:p>
          <a:endParaRPr lang="nb-NO"/>
        </a:p>
      </dgm:t>
    </dgm:pt>
    <dgm:pt modelId="{CD368F91-4DC8-4C6E-B4E5-A6317A6DADAB}">
      <dgm:prSet phldrT="[Tekst]" custT="1"/>
      <dgm:spPr/>
      <dgm:t>
        <a:bodyPr/>
        <a:lstStyle/>
        <a:p>
          <a:pPr>
            <a:buNone/>
          </a:pPr>
          <a:r>
            <a:rPr lang="nb-NO" sz="1000" dirty="0"/>
            <a:t>multisenterstudier</a:t>
          </a:r>
        </a:p>
      </dgm:t>
    </dgm:pt>
    <dgm:pt modelId="{5AC19C57-A6D2-4BD5-83BD-A0178DA46EB3}" type="parTrans" cxnId="{B3472B94-46E3-4944-90AB-FF353BA35BF4}">
      <dgm:prSet/>
      <dgm:spPr/>
      <dgm:t>
        <a:bodyPr/>
        <a:lstStyle/>
        <a:p>
          <a:endParaRPr lang="nb-NO"/>
        </a:p>
      </dgm:t>
    </dgm:pt>
    <dgm:pt modelId="{525948E1-4FD2-4FAC-B728-5EAA128E7790}" type="sibTrans" cxnId="{B3472B94-46E3-4944-90AB-FF353BA35BF4}">
      <dgm:prSet/>
      <dgm:spPr/>
      <dgm:t>
        <a:bodyPr/>
        <a:lstStyle/>
        <a:p>
          <a:endParaRPr lang="nb-NO"/>
        </a:p>
      </dgm:t>
    </dgm:pt>
    <dgm:pt modelId="{DFBFC1ED-61DE-4FEC-8679-9FEF55940DA9}">
      <dgm:prSet phldrT="[Tekst]" custT="1"/>
      <dgm:spPr/>
      <dgm:t>
        <a:bodyPr/>
        <a:lstStyle/>
        <a:p>
          <a:pPr>
            <a:buNone/>
          </a:pPr>
          <a:r>
            <a:rPr lang="nb-NO" sz="1000" dirty="0"/>
            <a:t>Sponsor for enkle kliniske studier</a:t>
          </a:r>
        </a:p>
      </dgm:t>
    </dgm:pt>
    <dgm:pt modelId="{3370BA4C-3ACC-409A-B98E-354071178090}" type="sibTrans" cxnId="{15A12018-44DB-4734-95E4-04566DCDBDC9}">
      <dgm:prSet/>
      <dgm:spPr/>
      <dgm:t>
        <a:bodyPr/>
        <a:lstStyle/>
        <a:p>
          <a:endParaRPr lang="nb-NO"/>
        </a:p>
      </dgm:t>
    </dgm:pt>
    <dgm:pt modelId="{376E5F44-73B9-4FFC-A64D-66E863D669A9}" type="parTrans" cxnId="{15A12018-44DB-4734-95E4-04566DCDBDC9}">
      <dgm:prSet/>
      <dgm:spPr/>
      <dgm:t>
        <a:bodyPr/>
        <a:lstStyle/>
        <a:p>
          <a:endParaRPr lang="nb-NO"/>
        </a:p>
      </dgm:t>
    </dgm:pt>
    <dgm:pt modelId="{B7FC9BD4-F87B-45B5-8AF3-A3A7FD5DFB7F}">
      <dgm:prSet phldrT="[Tekst]" custT="1"/>
      <dgm:spPr/>
      <dgm:t>
        <a:bodyPr/>
        <a:lstStyle/>
        <a:p>
          <a:pPr>
            <a:buNone/>
          </a:pPr>
          <a:r>
            <a:rPr lang="nb-NO" sz="1000" dirty="0"/>
            <a:t>internasjonale</a:t>
          </a:r>
          <a:endParaRPr lang="nb-NO" sz="1000" dirty="0">
            <a:highlight>
              <a:srgbClr val="FFFF00"/>
            </a:highlight>
          </a:endParaRPr>
        </a:p>
      </dgm:t>
    </dgm:pt>
    <dgm:pt modelId="{EB92669D-FEDE-4C01-BBF0-105B6723CBF4}" type="parTrans" cxnId="{90A9DCDE-A402-4CA3-8E70-A51758AA13B0}">
      <dgm:prSet/>
      <dgm:spPr/>
      <dgm:t>
        <a:bodyPr/>
        <a:lstStyle/>
        <a:p>
          <a:endParaRPr lang="nb-NO"/>
        </a:p>
      </dgm:t>
    </dgm:pt>
    <dgm:pt modelId="{8B749DCC-B519-4C68-9500-924D6559B768}" type="sibTrans" cxnId="{90A9DCDE-A402-4CA3-8E70-A51758AA13B0}">
      <dgm:prSet/>
      <dgm:spPr/>
      <dgm:t>
        <a:bodyPr/>
        <a:lstStyle/>
        <a:p>
          <a:endParaRPr lang="nb-NO"/>
        </a:p>
      </dgm:t>
    </dgm:pt>
    <dgm:pt modelId="{F844D264-339A-43BC-ADF5-307E5828E847}">
      <dgm:prSet phldrT="[Tekst]" custT="1"/>
      <dgm:spPr/>
      <dgm:t>
        <a:bodyPr/>
        <a:lstStyle/>
        <a:p>
          <a:pPr>
            <a:buNone/>
          </a:pPr>
          <a:r>
            <a:rPr lang="nb-NO" sz="1000" dirty="0"/>
            <a:t>multisenterstudier</a:t>
          </a:r>
          <a:endParaRPr lang="nb-NO" sz="1000" dirty="0">
            <a:highlight>
              <a:srgbClr val="FFFF00"/>
            </a:highlight>
          </a:endParaRPr>
        </a:p>
      </dgm:t>
    </dgm:pt>
    <dgm:pt modelId="{D40D11F8-A474-43E7-9A8A-13AA29321948}" type="parTrans" cxnId="{E6E9BA0E-C4E5-4516-88FC-F4E48842A8D1}">
      <dgm:prSet/>
      <dgm:spPr/>
      <dgm:t>
        <a:bodyPr/>
        <a:lstStyle/>
        <a:p>
          <a:endParaRPr lang="nb-NO"/>
        </a:p>
      </dgm:t>
    </dgm:pt>
    <dgm:pt modelId="{0643A53D-3318-4CC0-A193-5DB00B3B7A4E}" type="sibTrans" cxnId="{E6E9BA0E-C4E5-4516-88FC-F4E48842A8D1}">
      <dgm:prSet/>
      <dgm:spPr/>
      <dgm:t>
        <a:bodyPr/>
        <a:lstStyle/>
        <a:p>
          <a:endParaRPr lang="nb-NO"/>
        </a:p>
      </dgm:t>
    </dgm:pt>
    <dgm:pt modelId="{5EE1FA23-0689-4C62-AA78-901D2C2538C2}" type="pres">
      <dgm:prSet presAssocID="{490CFB13-A4A5-4EF9-A9B6-E559F67B6F32}" presName="arrowDiagram" presStyleCnt="0">
        <dgm:presLayoutVars>
          <dgm:chMax val="5"/>
          <dgm:dir/>
          <dgm:resizeHandles val="exact"/>
        </dgm:presLayoutVars>
      </dgm:prSet>
      <dgm:spPr/>
    </dgm:pt>
    <dgm:pt modelId="{11481058-061A-45C8-9926-0903F3AFFA2A}" type="pres">
      <dgm:prSet presAssocID="{490CFB13-A4A5-4EF9-A9B6-E559F67B6F32}" presName="arrow" presStyleLbl="bgShp" presStyleIdx="0" presStyleCnt="1"/>
      <dgm:spPr/>
    </dgm:pt>
    <dgm:pt modelId="{6715C8AD-0140-4336-84B3-770AF99000BC}" type="pres">
      <dgm:prSet presAssocID="{490CFB13-A4A5-4EF9-A9B6-E559F67B6F32}" presName="arrowDiagram4" presStyleCnt="0"/>
      <dgm:spPr/>
    </dgm:pt>
    <dgm:pt modelId="{62D108FA-F896-49B1-A8D2-90534ABAF08D}" type="pres">
      <dgm:prSet presAssocID="{1EE56A8A-31C8-4847-BC92-D58D0DE2FFA2}" presName="bullet4a" presStyleLbl="node1" presStyleIdx="0" presStyleCnt="4"/>
      <dgm:spPr/>
    </dgm:pt>
    <dgm:pt modelId="{7F2B1A59-99D8-4CE7-99F3-31D94B6B041F}" type="pres">
      <dgm:prSet presAssocID="{1EE56A8A-31C8-4847-BC92-D58D0DE2FFA2}" presName="textBox4a" presStyleLbl="revTx" presStyleIdx="0" presStyleCnt="4" custScaleX="209407" custLinFactNeighborX="56594" custLinFactNeighborY="-11356">
        <dgm:presLayoutVars>
          <dgm:bulletEnabled val="1"/>
        </dgm:presLayoutVars>
      </dgm:prSet>
      <dgm:spPr/>
    </dgm:pt>
    <dgm:pt modelId="{A933A636-442F-4E7B-9A7E-5896FF8A3192}" type="pres">
      <dgm:prSet presAssocID="{80A6ADEE-457B-4053-9649-82F3D1E5D98C}" presName="bullet4b" presStyleLbl="node1" presStyleIdx="1" presStyleCnt="4"/>
      <dgm:spPr/>
    </dgm:pt>
    <dgm:pt modelId="{8AFD9C0B-B3A7-4413-B33F-5F26CDA8FE1D}" type="pres">
      <dgm:prSet presAssocID="{80A6ADEE-457B-4053-9649-82F3D1E5D98C}" presName="textBox4b" presStyleLbl="revTx" presStyleIdx="1" presStyleCnt="4" custScaleX="113807" custLinFactNeighborX="11077" custLinFactNeighborY="-2957">
        <dgm:presLayoutVars>
          <dgm:bulletEnabled val="1"/>
        </dgm:presLayoutVars>
      </dgm:prSet>
      <dgm:spPr/>
    </dgm:pt>
    <dgm:pt modelId="{7831DEBE-4ECF-474A-8CDB-44DC38E86BA1}" type="pres">
      <dgm:prSet presAssocID="{51F3BF09-16C3-415F-ABBC-B57A7F4F125D}" presName="bullet4c" presStyleLbl="node1" presStyleIdx="2" presStyleCnt="4"/>
      <dgm:spPr/>
    </dgm:pt>
    <dgm:pt modelId="{A31A26B6-0512-4973-A27A-ED91F6DF5752}" type="pres">
      <dgm:prSet presAssocID="{51F3BF09-16C3-415F-ABBC-B57A7F4F125D}" presName="textBox4c" presStyleLbl="revTx" presStyleIdx="2" presStyleCnt="4" custScaleX="117136" custScaleY="44042" custLinFactNeighborX="11731" custLinFactNeighborY="-30419">
        <dgm:presLayoutVars>
          <dgm:bulletEnabled val="1"/>
        </dgm:presLayoutVars>
      </dgm:prSet>
      <dgm:spPr/>
    </dgm:pt>
    <dgm:pt modelId="{281E7CE2-687A-4453-A1D0-E81342DB9505}" type="pres">
      <dgm:prSet presAssocID="{11390F7E-1653-49E2-9225-E614A9374561}" presName="bullet4d" presStyleLbl="node1" presStyleIdx="3" presStyleCnt="4"/>
      <dgm:spPr/>
    </dgm:pt>
    <dgm:pt modelId="{86683153-DA65-4F83-8B45-A9730274859A}" type="pres">
      <dgm:prSet presAssocID="{11390F7E-1653-49E2-9225-E614A9374561}" presName="textBox4d" presStyleLbl="revTx" presStyleIdx="3" presStyleCnt="4" custScaleX="138687" custScaleY="46491" custLinFactNeighborX="22607" custLinFactNeighborY="-27521">
        <dgm:presLayoutVars>
          <dgm:bulletEnabled val="1"/>
        </dgm:presLayoutVars>
      </dgm:prSet>
      <dgm:spPr/>
    </dgm:pt>
  </dgm:ptLst>
  <dgm:cxnLst>
    <dgm:cxn modelId="{E6E9BA0E-C4E5-4516-88FC-F4E48842A8D1}" srcId="{11390F7E-1653-49E2-9225-E614A9374561}" destId="{F844D264-339A-43BC-ADF5-307E5828E847}" srcOrd="2" destOrd="0" parTransId="{D40D11F8-A474-43E7-9A8A-13AA29321948}" sibTransId="{0643A53D-3318-4CC0-A193-5DB00B3B7A4E}"/>
    <dgm:cxn modelId="{15A12018-44DB-4734-95E4-04566DCDBDC9}" srcId="{80A6ADEE-457B-4053-9649-82F3D1E5D98C}" destId="{DFBFC1ED-61DE-4FEC-8679-9FEF55940DA9}" srcOrd="0" destOrd="0" parTransId="{376E5F44-73B9-4FFC-A64D-66E863D669A9}" sibTransId="{3370BA4C-3ACC-409A-B98E-354071178090}"/>
    <dgm:cxn modelId="{C56A4627-0A3C-4064-A55A-B676241627DC}" srcId="{1EE56A8A-31C8-4847-BC92-D58D0DE2FFA2}" destId="{60F46BF8-61CF-492A-8488-02F44AA59A69}" srcOrd="1" destOrd="0" parTransId="{D2F469E7-1ADC-4E62-9E94-088B28965C21}" sibTransId="{8846433E-D33F-49D9-B8E8-C28C7F2F9230}"/>
    <dgm:cxn modelId="{EB1AAA2C-0D42-4F5A-91B2-7FC55F0927BD}" type="presOf" srcId="{CD368F91-4DC8-4C6E-B4E5-A6317A6DADAB}" destId="{7F2B1A59-99D8-4CE7-99F3-31D94B6B041F}" srcOrd="0" destOrd="3" presId="urn:microsoft.com/office/officeart/2005/8/layout/arrow2"/>
    <dgm:cxn modelId="{EBA0032F-CD4B-442A-814D-F0AB22A06013}" type="presOf" srcId="{A89EEFD8-C2D9-4C32-8A82-344E42CD9FAC}" destId="{86683153-DA65-4F83-8B45-A9730274859A}" srcOrd="0" destOrd="1" presId="urn:microsoft.com/office/officeart/2005/8/layout/arrow2"/>
    <dgm:cxn modelId="{99540135-6E58-47F2-8502-B4174E4A9178}" srcId="{490CFB13-A4A5-4EF9-A9B6-E559F67B6F32}" destId="{80A6ADEE-457B-4053-9649-82F3D1E5D98C}" srcOrd="1" destOrd="0" parTransId="{0B439C53-00D0-44FE-AC6A-DFF789EB1DE8}" sibTransId="{C58BE952-4D96-421C-9F72-1131F9B96B52}"/>
    <dgm:cxn modelId="{B47C2538-A238-4A35-93BC-14BC08B6854D}" type="presOf" srcId="{7165A729-F2CF-4BF4-AD8D-4E5300AAD890}" destId="{7F2B1A59-99D8-4CE7-99F3-31D94B6B041F}" srcOrd="0" destOrd="1" presId="urn:microsoft.com/office/officeart/2005/8/layout/arrow2"/>
    <dgm:cxn modelId="{D6B7E845-0F3C-48AC-B419-445240C0DC7B}" type="presOf" srcId="{51F3BF09-16C3-415F-ABBC-B57A7F4F125D}" destId="{A31A26B6-0512-4973-A27A-ED91F6DF5752}" srcOrd="0" destOrd="0" presId="urn:microsoft.com/office/officeart/2005/8/layout/arrow2"/>
    <dgm:cxn modelId="{6B44A36B-D2E7-4928-BCC0-375684F66199}" srcId="{11390F7E-1653-49E2-9225-E614A9374561}" destId="{A89EEFD8-C2D9-4C32-8A82-344E42CD9FAC}" srcOrd="0" destOrd="0" parTransId="{4C7D59AA-5C5B-4826-BFB4-2791A5327B62}" sibTransId="{8123BBF8-A942-467E-963D-68B44215907C}"/>
    <dgm:cxn modelId="{2275464F-6D40-4C9C-A874-B17F40F2E5CE}" type="presOf" srcId="{60F46BF8-61CF-492A-8488-02F44AA59A69}" destId="{7F2B1A59-99D8-4CE7-99F3-31D94B6B041F}" srcOrd="0" destOrd="2" presId="urn:microsoft.com/office/officeart/2005/8/layout/arrow2"/>
    <dgm:cxn modelId="{06D39F77-2138-4052-958C-E4280C9D254A}" type="presOf" srcId="{1EE56A8A-31C8-4847-BC92-D58D0DE2FFA2}" destId="{7F2B1A59-99D8-4CE7-99F3-31D94B6B041F}" srcOrd="0" destOrd="0" presId="urn:microsoft.com/office/officeart/2005/8/layout/arrow2"/>
    <dgm:cxn modelId="{3762CA58-08B5-447C-BFDF-BAA1775A9C49}" type="presOf" srcId="{80A6ADEE-457B-4053-9649-82F3D1E5D98C}" destId="{8AFD9C0B-B3A7-4413-B33F-5F26CDA8FE1D}" srcOrd="0" destOrd="0" presId="urn:microsoft.com/office/officeart/2005/8/layout/arrow2"/>
    <dgm:cxn modelId="{2A482192-E24C-4E8C-89BE-8ADADCC0824C}" srcId="{490CFB13-A4A5-4EF9-A9B6-E559F67B6F32}" destId="{1EE56A8A-31C8-4847-BC92-D58D0DE2FFA2}" srcOrd="0" destOrd="0" parTransId="{68AA096E-A872-4EC4-B333-DE8E99F15592}" sibTransId="{9F9D61BF-D106-4B22-A745-2E806A2AAAC6}"/>
    <dgm:cxn modelId="{B3472B94-46E3-4944-90AB-FF353BA35BF4}" srcId="{1EE56A8A-31C8-4847-BC92-D58D0DE2FFA2}" destId="{CD368F91-4DC8-4C6E-B4E5-A6317A6DADAB}" srcOrd="2" destOrd="0" parTransId="{5AC19C57-A6D2-4BD5-83BD-A0178DA46EB3}" sibTransId="{525948E1-4FD2-4FAC-B728-5EAA128E7790}"/>
    <dgm:cxn modelId="{503CC6A8-0999-435C-9527-DC03DF0471A2}" srcId="{490CFB13-A4A5-4EF9-A9B6-E559F67B6F32}" destId="{51F3BF09-16C3-415F-ABBC-B57A7F4F125D}" srcOrd="2" destOrd="0" parTransId="{4CEBF525-3492-453A-9F5E-1E18F2150A9E}" sibTransId="{9A194794-C6E1-478D-BFB2-773284793996}"/>
    <dgm:cxn modelId="{D301D2C1-D506-465E-94FF-A93F1F1A2C9C}" type="presOf" srcId="{F844D264-339A-43BC-ADF5-307E5828E847}" destId="{86683153-DA65-4F83-8B45-A9730274859A}" srcOrd="0" destOrd="3" presId="urn:microsoft.com/office/officeart/2005/8/layout/arrow2"/>
    <dgm:cxn modelId="{F16D92D4-60A1-4F71-A794-3444B62BC278}" srcId="{1EE56A8A-31C8-4847-BC92-D58D0DE2FFA2}" destId="{7165A729-F2CF-4BF4-AD8D-4E5300AAD890}" srcOrd="0" destOrd="0" parTransId="{8A999372-5FDF-4F45-8666-1C97EDD062A2}" sibTransId="{C699E154-DFED-48F6-A67E-AC8D0F2C6F91}"/>
    <dgm:cxn modelId="{D1BE65D9-EB8C-4D93-B2D5-A41AF778183C}" type="presOf" srcId="{B7FC9BD4-F87B-45B5-8AF3-A3A7FD5DFB7F}" destId="{86683153-DA65-4F83-8B45-A9730274859A}" srcOrd="0" destOrd="2" presId="urn:microsoft.com/office/officeart/2005/8/layout/arrow2"/>
    <dgm:cxn modelId="{D1F353DA-1D58-4F39-85D8-23831360B094}" type="presOf" srcId="{DFBFC1ED-61DE-4FEC-8679-9FEF55940DA9}" destId="{8AFD9C0B-B3A7-4413-B33F-5F26CDA8FE1D}" srcOrd="0" destOrd="1" presId="urn:microsoft.com/office/officeart/2005/8/layout/arrow2"/>
    <dgm:cxn modelId="{F7F9ACDC-8853-44A2-9643-053AD35EA78F}" type="presOf" srcId="{11390F7E-1653-49E2-9225-E614A9374561}" destId="{86683153-DA65-4F83-8B45-A9730274859A}" srcOrd="0" destOrd="0" presId="urn:microsoft.com/office/officeart/2005/8/layout/arrow2"/>
    <dgm:cxn modelId="{90A9DCDE-A402-4CA3-8E70-A51758AA13B0}" srcId="{11390F7E-1653-49E2-9225-E614A9374561}" destId="{B7FC9BD4-F87B-45B5-8AF3-A3A7FD5DFB7F}" srcOrd="1" destOrd="0" parTransId="{EB92669D-FEDE-4C01-BBF0-105B6723CBF4}" sibTransId="{8B749DCC-B519-4C68-9500-924D6559B768}"/>
    <dgm:cxn modelId="{231724F7-F2C8-46A3-BEBA-036B746E7FDB}" type="presOf" srcId="{490CFB13-A4A5-4EF9-A9B6-E559F67B6F32}" destId="{5EE1FA23-0689-4C62-AA78-901D2C2538C2}" srcOrd="0" destOrd="0" presId="urn:microsoft.com/office/officeart/2005/8/layout/arrow2"/>
    <dgm:cxn modelId="{1369CAFF-E2E7-48D1-AF4E-27B7F5E2BC87}" srcId="{490CFB13-A4A5-4EF9-A9B6-E559F67B6F32}" destId="{11390F7E-1653-49E2-9225-E614A9374561}" srcOrd="3" destOrd="0" parTransId="{3137F61D-9EAE-49D4-9209-9A74A800FC14}" sibTransId="{484FE857-9740-4FF3-81E1-0B4A05FC42A2}"/>
    <dgm:cxn modelId="{E3E9A4BC-DCE4-4F86-8BC6-2FB000A643CA}" type="presParOf" srcId="{5EE1FA23-0689-4C62-AA78-901D2C2538C2}" destId="{11481058-061A-45C8-9926-0903F3AFFA2A}" srcOrd="0" destOrd="0" presId="urn:microsoft.com/office/officeart/2005/8/layout/arrow2"/>
    <dgm:cxn modelId="{A4E22396-5C25-45C8-9A4E-A9B25C4E214B}" type="presParOf" srcId="{5EE1FA23-0689-4C62-AA78-901D2C2538C2}" destId="{6715C8AD-0140-4336-84B3-770AF99000BC}" srcOrd="1" destOrd="0" presId="urn:microsoft.com/office/officeart/2005/8/layout/arrow2"/>
    <dgm:cxn modelId="{EF0BFC82-AD67-4348-BDF0-BEB4ABC61E2B}" type="presParOf" srcId="{6715C8AD-0140-4336-84B3-770AF99000BC}" destId="{62D108FA-F896-49B1-A8D2-90534ABAF08D}" srcOrd="0" destOrd="0" presId="urn:microsoft.com/office/officeart/2005/8/layout/arrow2"/>
    <dgm:cxn modelId="{D4C373B6-868E-4FB6-B939-45E94E42F51D}" type="presParOf" srcId="{6715C8AD-0140-4336-84B3-770AF99000BC}" destId="{7F2B1A59-99D8-4CE7-99F3-31D94B6B041F}" srcOrd="1" destOrd="0" presId="urn:microsoft.com/office/officeart/2005/8/layout/arrow2"/>
    <dgm:cxn modelId="{C730C63B-4599-4C7C-9FBB-2867352A00CB}" type="presParOf" srcId="{6715C8AD-0140-4336-84B3-770AF99000BC}" destId="{A933A636-442F-4E7B-9A7E-5896FF8A3192}" srcOrd="2" destOrd="0" presId="urn:microsoft.com/office/officeart/2005/8/layout/arrow2"/>
    <dgm:cxn modelId="{EC039229-841A-45C5-9F23-C337697F3A57}" type="presParOf" srcId="{6715C8AD-0140-4336-84B3-770AF99000BC}" destId="{8AFD9C0B-B3A7-4413-B33F-5F26CDA8FE1D}" srcOrd="3" destOrd="0" presId="urn:microsoft.com/office/officeart/2005/8/layout/arrow2"/>
    <dgm:cxn modelId="{3040172C-57E9-438B-9EAC-7C4BDA990C34}" type="presParOf" srcId="{6715C8AD-0140-4336-84B3-770AF99000BC}" destId="{7831DEBE-4ECF-474A-8CDB-44DC38E86BA1}" srcOrd="4" destOrd="0" presId="urn:microsoft.com/office/officeart/2005/8/layout/arrow2"/>
    <dgm:cxn modelId="{520E1397-D4BA-4E89-97C9-0F261CDB29E9}" type="presParOf" srcId="{6715C8AD-0140-4336-84B3-770AF99000BC}" destId="{A31A26B6-0512-4973-A27A-ED91F6DF5752}" srcOrd="5" destOrd="0" presId="urn:microsoft.com/office/officeart/2005/8/layout/arrow2"/>
    <dgm:cxn modelId="{81A54D36-0F3A-4D76-81FB-89E0A8D82EDA}" type="presParOf" srcId="{6715C8AD-0140-4336-84B3-770AF99000BC}" destId="{281E7CE2-687A-4453-A1D0-E81342DB9505}" srcOrd="6" destOrd="0" presId="urn:microsoft.com/office/officeart/2005/8/layout/arrow2"/>
    <dgm:cxn modelId="{BD4B87FE-6F92-4862-8E3D-08B6EB4CE4C8}" type="presParOf" srcId="{6715C8AD-0140-4336-84B3-770AF99000BC}" destId="{86683153-DA65-4F83-8B45-A9730274859A}" srcOrd="7" destOrd="0" presId="urn:microsoft.com/office/officeart/2005/8/layout/arrow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81058-061A-45C8-9926-0903F3AFFA2A}">
      <dsp:nvSpPr>
        <dsp:cNvPr id="0" name=""/>
        <dsp:cNvSpPr/>
      </dsp:nvSpPr>
      <dsp:spPr>
        <a:xfrm>
          <a:off x="500954" y="0"/>
          <a:ext cx="4707128" cy="2941954"/>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2D108FA-F896-49B1-A8D2-90534ABAF08D}">
      <dsp:nvSpPr>
        <dsp:cNvPr id="0" name=""/>
        <dsp:cNvSpPr/>
      </dsp:nvSpPr>
      <dsp:spPr>
        <a:xfrm>
          <a:off x="964606" y="2187637"/>
          <a:ext cx="108263" cy="10826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2B1A59-99D8-4CE7-99F3-31D94B6B041F}">
      <dsp:nvSpPr>
        <dsp:cNvPr id="0" name=""/>
        <dsp:cNvSpPr/>
      </dsp:nvSpPr>
      <dsp:spPr>
        <a:xfrm>
          <a:off x="1033955" y="2162256"/>
          <a:ext cx="1685556" cy="7001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367"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Nivå 1</a:t>
          </a:r>
        </a:p>
        <a:p>
          <a:pPr marL="57150" lvl="1" indent="-57150" algn="l" defTabSz="444500">
            <a:lnSpc>
              <a:spcPct val="90000"/>
            </a:lnSpc>
            <a:spcBef>
              <a:spcPct val="0"/>
            </a:spcBef>
            <a:spcAft>
              <a:spcPct val="15000"/>
            </a:spcAft>
            <a:buNone/>
          </a:pPr>
          <a:r>
            <a:rPr lang="nb-NO" sz="1000" kern="1200" dirty="0"/>
            <a:t>Lokale sentre som</a:t>
          </a:r>
        </a:p>
        <a:p>
          <a:pPr marL="57150" lvl="1" indent="-57150" algn="l" defTabSz="444500">
            <a:lnSpc>
              <a:spcPct val="90000"/>
            </a:lnSpc>
            <a:spcBef>
              <a:spcPct val="0"/>
            </a:spcBef>
            <a:spcAft>
              <a:spcPct val="15000"/>
            </a:spcAft>
            <a:buNone/>
          </a:pPr>
          <a:r>
            <a:rPr lang="nb-NO" sz="1000" kern="1200" dirty="0"/>
            <a:t>deltar i nasjonale</a:t>
          </a:r>
        </a:p>
        <a:p>
          <a:pPr marL="57150" lvl="1" indent="-57150" algn="l" defTabSz="444500">
            <a:lnSpc>
              <a:spcPct val="90000"/>
            </a:lnSpc>
            <a:spcBef>
              <a:spcPct val="0"/>
            </a:spcBef>
            <a:spcAft>
              <a:spcPct val="15000"/>
            </a:spcAft>
            <a:buNone/>
          </a:pPr>
          <a:r>
            <a:rPr lang="nb-NO" sz="1000" kern="1200" dirty="0"/>
            <a:t>multisenterstudier</a:t>
          </a:r>
        </a:p>
      </dsp:txBody>
      <dsp:txXfrm>
        <a:off x="1033955" y="2162256"/>
        <a:ext cx="1685556" cy="700185"/>
      </dsp:txXfrm>
    </dsp:sp>
    <dsp:sp modelId="{A933A636-442F-4E7B-9A7E-5896FF8A3192}">
      <dsp:nvSpPr>
        <dsp:cNvPr id="0" name=""/>
        <dsp:cNvSpPr/>
      </dsp:nvSpPr>
      <dsp:spPr>
        <a:xfrm>
          <a:off x="1729514" y="1503339"/>
          <a:ext cx="188285" cy="1882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FD9C0B-B3A7-4413-B33F-5F26CDA8FE1D}">
      <dsp:nvSpPr>
        <dsp:cNvPr id="0" name=""/>
        <dsp:cNvSpPr/>
      </dsp:nvSpPr>
      <dsp:spPr>
        <a:xfrm>
          <a:off x="1864912" y="1557725"/>
          <a:ext cx="1124978" cy="13444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768"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Nivå 2</a:t>
          </a:r>
        </a:p>
        <a:p>
          <a:pPr marL="57150" lvl="1" indent="-57150" algn="l" defTabSz="444500">
            <a:lnSpc>
              <a:spcPct val="90000"/>
            </a:lnSpc>
            <a:spcBef>
              <a:spcPct val="0"/>
            </a:spcBef>
            <a:spcAft>
              <a:spcPct val="15000"/>
            </a:spcAft>
            <a:buNone/>
          </a:pPr>
          <a:r>
            <a:rPr lang="nb-NO" sz="1000" kern="1200" dirty="0"/>
            <a:t>Sponsor for enkle kliniske studier</a:t>
          </a:r>
        </a:p>
      </dsp:txBody>
      <dsp:txXfrm>
        <a:off x="1864912" y="1557725"/>
        <a:ext cx="1124978" cy="1344473"/>
      </dsp:txXfrm>
    </dsp:sp>
    <dsp:sp modelId="{7831DEBE-4ECF-474A-8CDB-44DC38E86BA1}">
      <dsp:nvSpPr>
        <dsp:cNvPr id="0" name=""/>
        <dsp:cNvSpPr/>
      </dsp:nvSpPr>
      <dsp:spPr>
        <a:xfrm>
          <a:off x="2706243" y="999087"/>
          <a:ext cx="249477" cy="2494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1A26B6-0512-4973-A27A-ED91F6DF5752}">
      <dsp:nvSpPr>
        <dsp:cNvPr id="0" name=""/>
        <dsp:cNvSpPr/>
      </dsp:nvSpPr>
      <dsp:spPr>
        <a:xfrm>
          <a:off x="2862249" y="1079464"/>
          <a:ext cx="1157885" cy="8007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2193"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Nivå 3 </a:t>
          </a:r>
        </a:p>
        <a:p>
          <a:pPr marL="0" lvl="0" indent="0" algn="l" defTabSz="622300">
            <a:lnSpc>
              <a:spcPct val="90000"/>
            </a:lnSpc>
            <a:spcBef>
              <a:spcPct val="0"/>
            </a:spcBef>
            <a:spcAft>
              <a:spcPct val="35000"/>
            </a:spcAft>
            <a:buNone/>
          </a:pPr>
          <a:r>
            <a:rPr lang="nb-NO" sz="1000" kern="1200" dirty="0"/>
            <a:t>Sponsor av nasjonale multisenterstudier</a:t>
          </a:r>
          <a:endParaRPr lang="nb-NO" sz="1400" kern="1200" dirty="0"/>
        </a:p>
      </dsp:txBody>
      <dsp:txXfrm>
        <a:off x="2862249" y="1079464"/>
        <a:ext cx="1157885" cy="800740"/>
      </dsp:txXfrm>
    </dsp:sp>
    <dsp:sp modelId="{281E7CE2-687A-4453-A1D0-E81342DB9505}">
      <dsp:nvSpPr>
        <dsp:cNvPr id="0" name=""/>
        <dsp:cNvSpPr/>
      </dsp:nvSpPr>
      <dsp:spPr>
        <a:xfrm>
          <a:off x="3770054" y="665470"/>
          <a:ext cx="334206" cy="3342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683153-DA65-4F83-8B45-A9730274859A}">
      <dsp:nvSpPr>
        <dsp:cNvPr id="0" name=""/>
        <dsp:cNvSpPr/>
      </dsp:nvSpPr>
      <dsp:spPr>
        <a:xfrm>
          <a:off x="3969417" y="816404"/>
          <a:ext cx="1370916" cy="9806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089"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Nivå 4 </a:t>
          </a:r>
        </a:p>
        <a:p>
          <a:pPr marL="57150" lvl="1" indent="-57150" algn="l" defTabSz="444500">
            <a:lnSpc>
              <a:spcPct val="90000"/>
            </a:lnSpc>
            <a:spcBef>
              <a:spcPct val="0"/>
            </a:spcBef>
            <a:spcAft>
              <a:spcPct val="15000"/>
            </a:spcAft>
            <a:buNone/>
          </a:pPr>
          <a:r>
            <a:rPr lang="nb-NO" sz="1000" kern="1200" dirty="0"/>
            <a:t>Sponsor for</a:t>
          </a:r>
          <a:endParaRPr lang="nb-NO" sz="1000" kern="1200" dirty="0">
            <a:highlight>
              <a:srgbClr val="FFFF00"/>
            </a:highlight>
          </a:endParaRPr>
        </a:p>
        <a:p>
          <a:pPr marL="57150" lvl="1" indent="-57150" algn="l" defTabSz="444500">
            <a:lnSpc>
              <a:spcPct val="90000"/>
            </a:lnSpc>
            <a:spcBef>
              <a:spcPct val="0"/>
            </a:spcBef>
            <a:spcAft>
              <a:spcPct val="15000"/>
            </a:spcAft>
            <a:buNone/>
          </a:pPr>
          <a:r>
            <a:rPr lang="nb-NO" sz="1000" kern="1200" dirty="0"/>
            <a:t>internasjonale</a:t>
          </a:r>
          <a:endParaRPr lang="nb-NO" sz="1000" kern="1200" dirty="0">
            <a:highlight>
              <a:srgbClr val="FFFF00"/>
            </a:highlight>
          </a:endParaRPr>
        </a:p>
        <a:p>
          <a:pPr marL="57150" lvl="1" indent="-57150" algn="l" defTabSz="444500">
            <a:lnSpc>
              <a:spcPct val="90000"/>
            </a:lnSpc>
            <a:spcBef>
              <a:spcPct val="0"/>
            </a:spcBef>
            <a:spcAft>
              <a:spcPct val="15000"/>
            </a:spcAft>
            <a:buNone/>
          </a:pPr>
          <a:r>
            <a:rPr lang="nb-NO" sz="1000" kern="1200" dirty="0"/>
            <a:t>multisenterstudier</a:t>
          </a:r>
          <a:endParaRPr lang="nb-NO" sz="1000" kern="1200" dirty="0">
            <a:highlight>
              <a:srgbClr val="FFFF00"/>
            </a:highlight>
          </a:endParaRPr>
        </a:p>
      </dsp:txBody>
      <dsp:txXfrm>
        <a:off x="3969417" y="816404"/>
        <a:ext cx="1370916" cy="98067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1B6E-D7AC-4E79-9A5B-7104956988C7}">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2653</Words>
  <Characters>14061</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Jonsdottir, Kristin</dc:creator>
  <cp:keywords/>
  <dc:description/>
  <cp:lastModifiedBy>Jon Borgen Borgaard</cp:lastModifiedBy>
  <cp:revision>2</cp:revision>
  <dcterms:created xsi:type="dcterms:W3CDTF">2025-04-02T10:29:00Z</dcterms:created>
  <dcterms:modified xsi:type="dcterms:W3CDTF">2025-04-02T10:29:00Z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3ffc1c-ef00-4620-9c2f-7d9c1597774b_Enabled">
    <vt:lpwstr>true</vt:lpwstr>
  </property>
  <property fmtid="{D5CDD505-2E9C-101B-9397-08002B2CF9AE}" pid="3" name="MSIP_Label_0c3ffc1c-ef00-4620-9c2f-7d9c1597774b_SetDate">
    <vt:lpwstr>2025-02-07T11:11:23Z</vt:lpwstr>
  </property>
  <property fmtid="{D5CDD505-2E9C-101B-9397-08002B2CF9AE}" pid="4" name="MSIP_Label_0c3ffc1c-ef00-4620-9c2f-7d9c1597774b_Method">
    <vt:lpwstr>Standard</vt:lpwstr>
  </property>
  <property fmtid="{D5CDD505-2E9C-101B-9397-08002B2CF9AE}" pid="5" name="MSIP_Label_0c3ffc1c-ef00-4620-9c2f-7d9c1597774b_Name">
    <vt:lpwstr>Intern</vt:lpwstr>
  </property>
  <property fmtid="{D5CDD505-2E9C-101B-9397-08002B2CF9AE}" pid="6" name="MSIP_Label_0c3ffc1c-ef00-4620-9c2f-7d9c1597774b_SiteId">
    <vt:lpwstr>bdcbe535-f3cf-49f5-8a6a-fb6d98dc7837</vt:lpwstr>
  </property>
  <property fmtid="{D5CDD505-2E9C-101B-9397-08002B2CF9AE}" pid="7" name="MSIP_Label_0c3ffc1c-ef00-4620-9c2f-7d9c1597774b_ActionId">
    <vt:lpwstr>a21001cc-b380-408f-9391-2f92f8f6ff36</vt:lpwstr>
  </property>
  <property fmtid="{D5CDD505-2E9C-101B-9397-08002B2CF9AE}" pid="8" name="MSIP_Label_0c3ffc1c-ef00-4620-9c2f-7d9c1597774b_ContentBits">
    <vt:lpwstr>2</vt:lpwstr>
  </property>
</Properties>
</file>